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D69D46E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="00621C1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601115CF" w:rsidR="00B31C48" w:rsidRPr="00B31C48" w:rsidRDefault="00621C1A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3E0B43">
        <w:rPr>
          <w:rFonts w:ascii="Candara" w:hAnsi="Candara"/>
          <w:sz w:val="40"/>
          <w:szCs w:val="40"/>
          <w:lang w:val="mt-MT"/>
        </w:rPr>
        <w:t>It-Trinità Qaddisa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09E6E418" w:rsidR="00B31C48" w:rsidRDefault="00621C1A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16</w:t>
      </w:r>
      <w:r w:rsid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="001335B6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</w:t>
      </w:r>
      <w:r w:rsidR="007D4BF0"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 w:rsidR="001335B6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5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75CA5473" w14:textId="77777777" w:rsidR="00621C1A" w:rsidRPr="000E3C76" w:rsidRDefault="00621C1A" w:rsidP="00D87AD9">
      <w:pPr>
        <w:snapToGrid w:val="0"/>
        <w:jc w:val="both"/>
        <w:rPr>
          <w:rFonts w:cstheme="minorHAnsi"/>
          <w:b/>
          <w:bCs/>
          <w:i/>
          <w:iCs/>
          <w:sz w:val="24"/>
          <w:lang w:val="mt-MT"/>
        </w:rPr>
      </w:pPr>
      <w:r w:rsidRPr="000E3C76">
        <w:rPr>
          <w:rFonts w:cstheme="minorHAnsi"/>
          <w:b/>
          <w:bCs/>
          <w:i/>
          <w:iCs/>
          <w:sz w:val="24"/>
          <w:lang w:val="mt-MT"/>
        </w:rPr>
        <w:t>F’dak iż-żmien, Ġesù qal lid-dixxipli tiegħu: “Baqagħli ħafna ħwejjeġ x’ngħidilkom, imma għalissa ma tifilħux għalihom. Meta jiġi hu, l-Ispirtu tal-verità, iwassalkom għall-verità kollha; għaliex hu ma jgħid xejn minn tiegħu, imma jgħid dak li jisma’, u jħabbrilkom il-ġejjieni. Hu jagħtini glorja, għaliex jieħu minn dak li hu tiegħi u jħabbru lilkom. Dak kollu li għandu l-Missier huwa tiegħi. Għalhekk għedt li jieħu minn dak li hu tiegħi u jħabbru lilkom”.</w:t>
      </w:r>
    </w:p>
    <w:p w14:paraId="6E16A886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>Eżatt qabel din is-silta, naqraw li l-Paraklitu ser juri lid-dinja li għandha żball dwar id-dnub, il-ġustizzja u l-ġudizzju (v. 9-11). Dwar id-dnub ser juri li dan jeżisti fejn hemm deċiżjoni li ma temminx f’Ġesù; ser juri l-falsità tal-ġustizzja tad-dinja għax tipprova tifhem lil Ġesù b’raġunar li hu tad-dinja, waqt li tiċħad li hu ġej mill-Missier u li rieġa sejjer għandu; dwar il-ġudizzju ser juri li l-loġika divina hija differenti minn dik umana: dak li apparentament kien jidher falliment fil-mewt ta’ Ġesù kien fil-verità glorifikazzjoni u eżaltazzjoni.</w:t>
      </w:r>
    </w:p>
    <w:p w14:paraId="764C1A7B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>Is-silta li għandna quddiemna (v. 13-15), tindika kif u meta l-Paraklitu ser iwettaq din il-missjoni tiegħu. Huwa ser ikompli l-attività rivelatriċi ta’ Ġesù fiż-żmien ta’ bejn it-tluq ta’ Ġesù u l-aħħar taż-żmien, bejn l-</w:t>
      </w:r>
      <w:r w:rsidRPr="000E3C76">
        <w:rPr>
          <w:rFonts w:cstheme="minorHAnsi"/>
          <w:i/>
          <w:iCs/>
          <w:sz w:val="24"/>
          <w:lang w:val="mt-MT"/>
        </w:rPr>
        <w:t>issa</w:t>
      </w:r>
      <w:r w:rsidRPr="000E3C76">
        <w:rPr>
          <w:rFonts w:cstheme="minorHAnsi"/>
          <w:sz w:val="24"/>
          <w:lang w:val="mt-MT"/>
        </w:rPr>
        <w:t xml:space="preserve"> u l-</w:t>
      </w:r>
      <w:r w:rsidRPr="000E3C76">
        <w:rPr>
          <w:rFonts w:cstheme="minorHAnsi"/>
          <w:i/>
          <w:iCs/>
          <w:sz w:val="24"/>
          <w:lang w:val="mt-MT"/>
        </w:rPr>
        <w:t>mhux għal issa.</w:t>
      </w:r>
    </w:p>
    <w:p w14:paraId="60A0DFFC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>Ġesù wasal biex iħalli lid-dixxipli tiegħu. Hemm ċerta tensjoni bejn ix-xewqa ta’ Ġesù li jkompli jagħtihom l-istruzzjonijiet u l-fatt li huma ma jifilħux għalijom. Ma jfissirx li Ġesù ried jgħid affarijiet ġodda li ma kienx qalhom qabel. Il-problema hi l-istat dgħajjef tad-dixxipli bħalissa. Huma diġa ‘raw’ lil Alla f’Ġesù, imma għandhom bżonn min ifehemhom l-implikazzjonijiet kollha ta’ din ir-rivelazzjoni. F’dan is-sens l-Ispirtu ser iwassalhom għall-verità kollha, mhux għax Ġesù ma kienx urihom il-verità kollha, imma billi din hija verità dinamika, proċess kontinwu, l-Ispirtu ser iwassalhom biex jilqugħha fit-totalità tagħha matul l-istorja sal-aħħar taż-żmien. Dan ifisser li l-Ispirtu jgħinna napplikaw il-kelma ta’ Kristu fis-sitwazzjoni konkreta tal-ħajja tagħna.</w:t>
      </w:r>
    </w:p>
    <w:p w14:paraId="16BDB7C4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>L-espressjoni “jħabbrilkom il-ġejjieni”, ma tfissirx li l-Ispirtu ser jgħidilna x’se jiġri fil-futur kelma b’kelma, qisu xi oroskopju. Il-ġejjieni huwa s-saltna tal-Messija u kif din ser tiġi attwata fl-istorja. Dan hu li ser jgħinna nifhmu l-Ispirtu. Huwa għalhekk l-ispirtu tal-profezija li jgħinna nifhmu dak li qed jiġri fid-dawl ta’ dak li għandu jerġa jiġi. Il-profezija mhix għajr li taqra l-present fid-dawl ta’ Kristu, li tara r-realtà bl-għajnejn ta’ Kristu.</w:t>
      </w:r>
    </w:p>
    <w:p w14:paraId="073F9F4A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lastRenderedPageBreak/>
        <w:t xml:space="preserve">Il-missjoni ta’ Ġesù għalhekk ser tkompli f’dik tal-Ispirtu, li ser jieħu minn dak li hu ta’ Ġesù u jħabbru lilna. Però s-sors komuni ta’ dawn iż-żewġ missjonijiet (ta’ Ġesù u tal-Ispirtu) huwa l-Missier. Kemm Ġesù kif ukoll l-Ispirtu huma mibgħuta mill-Missier (cf. 14,16, 26; 15,26). Ġesù jiddikjara li kull ma hu tal-Missier huwa tiegħu. Mhux biss Ġesù jirċievi kollox mill-Missier (cf. 5,19.30) imma kull m’għandu l-Missier huwa tiegħu. L-għaqda bejn il-Missier u Ġesù (cf. 1,1-2.18; 10,30.38) hija tant kompleta li kull ma hu tal-Missier hu ta’ Ġesù. Ġesù huwa għalhekk ir-rivelazzjoni perfetta u ideali tal-Missier u xejn mill-Missier ma hu moħbi għax Ġesù jħaddan kull ma hu tal-Missier. Mela meta l-Ispirtu qed jieħu minn dak li hu ta’ Ġesù biex iħabbru lilna, huwa qed iħabbrilna dak li hu tal-Missier. </w:t>
      </w:r>
    </w:p>
    <w:p w14:paraId="2ECE9F7E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>Dan il-ħsieb idaħħalna fil-misteru li ser niċċelebraw dan il-Ħadd. It-Trinità Qaddisa hija misteru li ma nistgħux nifhmuh. Imma dan ma jfissirx li huwa kontra r-raġuni. Dak li fid-duttrina huwa misteru, veru li ma jistax jiġi ppruvat bir-raġuni, imma ma jfissirx li huwa irrazzjonali i.e., mhux f’kontradizzjoni mar-raġuni. Ir-raġuni twassalna għall-uniċità ta’ Alla: Alla huwa assolut u loġikament ma jistax ikun hemm assoluti oħrajn fl-istess ħin. U għalhekk li aħna ma nipprofessawx il-fidi fi tliet Allat, imma Alla wieħed fi tliet persuni ugwali u distinti.</w:t>
      </w:r>
    </w:p>
    <w:p w14:paraId="47C974CC" w14:textId="77777777" w:rsidR="00621C1A" w:rsidRPr="000E3C76" w:rsidRDefault="00621C1A" w:rsidP="00D87AD9">
      <w:pPr>
        <w:snapToGrid w:val="0"/>
        <w:jc w:val="both"/>
        <w:rPr>
          <w:rFonts w:cstheme="minorHAnsi"/>
          <w:sz w:val="24"/>
          <w:lang w:val="mt-MT"/>
        </w:rPr>
      </w:pPr>
      <w:r w:rsidRPr="000E3C76">
        <w:rPr>
          <w:rFonts w:cstheme="minorHAnsi"/>
          <w:sz w:val="24"/>
          <w:lang w:val="mt-MT"/>
        </w:rPr>
        <w:t xml:space="preserve">Ġesù Kristu uriena t-Trinità bħala misteru ta’ mħabba, imħabba mhux ta’ persuna singola, imma trinitarja, infinita u eterna. Alla għalhekk ma jgħixx f’solitudni imma huwa għajn ta’ ħajja li kontinwament tingħata u tikkomunika lilha nfisha. Fil-misteru tat-Trinità hija essenzjali r-relazzjoni, bħalma huwa l-każ fil-ħajja tagħna. Il-bniedem ma jistax jgħix mingħajr relazzjonijiet. Fil-misteru tat-Trinità kollox ġej mill-imħabba u jwassal għall-imħabba u kollox hu misjuq mill-imħabba. Dan hu li jfittex il-bniedem u dan hu li jimmotivah. F’dan is-sens, il-bniedem hu maħluq xbieha t’Alla: għandu mmarkat fih il-misteru tat-Trinità. Għalhekk San Pawl seta’ jgħid: </w:t>
      </w:r>
      <w:r w:rsidRPr="000E3C76">
        <w:rPr>
          <w:rFonts w:cstheme="minorHAnsi"/>
          <w:i/>
          <w:iCs/>
          <w:sz w:val="24"/>
          <w:lang w:val="mt-MT"/>
        </w:rPr>
        <w:t>fih ngħixu, nitħarrku u aħna</w:t>
      </w:r>
      <w:r w:rsidRPr="000E3C76">
        <w:rPr>
          <w:rFonts w:cstheme="minorHAnsi"/>
          <w:sz w:val="24"/>
          <w:lang w:val="mt-MT"/>
        </w:rPr>
        <w:t xml:space="preserve"> (At 17,28). Il-prova l-aktar qawwija li aħna maħluqa fuq ix-xbieha tat-Trinità hija din: l-imħabba biss tagħmilna ferħanin, ngħixu biex inħobbu u biex inkunu maħbuba. Il-bniedem għandu fih id-DNA tat-Trinità! (cf. Benedittu XVI, Angelus, 7 ta’ Ġunju 2009).</w:t>
      </w:r>
    </w:p>
    <w:p w14:paraId="306EC224" w14:textId="16928FA7" w:rsidR="00D2529C" w:rsidRPr="00B4614D" w:rsidRDefault="00621C1A" w:rsidP="00D87AD9">
      <w:pPr>
        <w:pStyle w:val="NoSpacing"/>
        <w:snapToGrid w:val="0"/>
        <w:spacing w:after="160" w:line="259" w:lineRule="auto"/>
        <w:jc w:val="both"/>
        <w:rPr>
          <w:sz w:val="24"/>
          <w:szCs w:val="24"/>
          <w:lang w:val="mt-MT"/>
        </w:rPr>
      </w:pPr>
      <w:r w:rsidRPr="000E3C76">
        <w:rPr>
          <w:rFonts w:cstheme="minorHAnsi"/>
          <w:sz w:val="24"/>
          <w:lang w:val="mt-MT"/>
        </w:rPr>
        <w:t>Element ieħor importanti fil-misteru tat-Trinità huwa dak tal-unità. Qed nitkellmu minn għaqda sħiħa bejn tliet persuni distinti. Din hija sejħa għalina l-bnedmin li ngħixu fl-unità minkejja d-diversità ta’ bejnietna. Din m’għandhiex tkun sempliċi atteġġjament fin-nisrani imma hija essenzjali għax hija konsegwenza naturali tal-imħabba (cf. Franġisku, Angelus, 30 ta’ Mejju 2021)</w:t>
      </w:r>
      <w:r w:rsidR="00844577" w:rsidRPr="00B4614D">
        <w:rPr>
          <w:rFonts w:cstheme="minorHAnsi"/>
          <w:sz w:val="24"/>
          <w:szCs w:val="24"/>
          <w:lang w:val="mt-MT"/>
        </w:rPr>
        <w:t>.</w:t>
      </w:r>
    </w:p>
    <w:sectPr w:rsidR="00D2529C" w:rsidRPr="00B4614D" w:rsidSect="00621C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335B6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21C1A"/>
    <w:rsid w:val="00635C12"/>
    <w:rsid w:val="0065422E"/>
    <w:rsid w:val="006A5661"/>
    <w:rsid w:val="006C791B"/>
    <w:rsid w:val="0071320F"/>
    <w:rsid w:val="00724B7D"/>
    <w:rsid w:val="00727906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858C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4614D"/>
    <w:rsid w:val="00B56910"/>
    <w:rsid w:val="00C16030"/>
    <w:rsid w:val="00C415E6"/>
    <w:rsid w:val="00CB1D88"/>
    <w:rsid w:val="00CC21BC"/>
    <w:rsid w:val="00CC44C4"/>
    <w:rsid w:val="00CD2BF8"/>
    <w:rsid w:val="00D13B90"/>
    <w:rsid w:val="00D2529C"/>
    <w:rsid w:val="00D64A97"/>
    <w:rsid w:val="00D87AD9"/>
    <w:rsid w:val="00DC104F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  <w:style w:type="character" w:customStyle="1" w:styleId="verse-span">
    <w:name w:val="verse-span"/>
    <w:basedOn w:val="DefaultParagraphFont"/>
    <w:rsid w:val="00B4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53</cp:revision>
  <dcterms:created xsi:type="dcterms:W3CDTF">2021-02-16T07:26:00Z</dcterms:created>
  <dcterms:modified xsi:type="dcterms:W3CDTF">2022-06-06T13:55:00Z</dcterms:modified>
</cp:coreProperties>
</file>