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3A91C3F8" w:rsidR="00B31C48" w:rsidRPr="00B31C48" w:rsidRDefault="00DD4151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4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-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Għid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49D2FB97" w:rsidR="00B31C48" w:rsidRDefault="007D4BF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Ġw </w:t>
      </w:r>
      <w:r w:rsidR="00DD415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10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 w:rsidR="00DD415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27</w:t>
      </w:r>
      <w:r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 w:rsidR="00DD415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30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23403489" w14:textId="30014100" w:rsidR="004A7527" w:rsidRPr="00757237" w:rsidRDefault="004A7527" w:rsidP="004A7527">
      <w:pPr>
        <w:jc w:val="both"/>
        <w:rPr>
          <w:color w:val="000000" w:themeColor="text1"/>
          <w:sz w:val="24"/>
          <w:szCs w:val="24"/>
          <w:lang w:val="mt-MT"/>
        </w:rPr>
      </w:pPr>
      <w:r w:rsidRPr="00757237">
        <w:rPr>
          <w:color w:val="000000" w:themeColor="text1"/>
          <w:sz w:val="24"/>
          <w:szCs w:val="24"/>
          <w:lang w:val="mt-MT"/>
        </w:rPr>
        <w:t>Ġw 10,22 jintroduċi l-aħħar dibattitu mal-Lhud fil-ministeru pubbliku ta’ Ġesù. Dan id-dibattitu jseħħ fit-Tempju, matul il-festa tad-Dedikazzjoni (</w:t>
      </w:r>
      <w:r w:rsidRPr="00757237">
        <w:rPr>
          <w:i/>
          <w:iCs/>
          <w:color w:val="000000" w:themeColor="text1"/>
          <w:sz w:val="24"/>
          <w:szCs w:val="24"/>
          <w:lang w:val="mt-MT"/>
        </w:rPr>
        <w:t>Hanukkah</w:t>
      </w:r>
      <w:r w:rsidRPr="00757237">
        <w:rPr>
          <w:color w:val="000000" w:themeColor="text1"/>
          <w:sz w:val="24"/>
          <w:szCs w:val="24"/>
          <w:lang w:val="mt-MT"/>
        </w:rPr>
        <w:t xml:space="preserve">), li tiġi ċċelebrata fix-xitwa. Din hi t-tifkira tal-purifikazzjoni u konsagrazzjoni tal-altar tat-tempju ta’ Ġerusalemm tas-sena 164 Q.K. minn Ġuda l-Makkabew (1Mak 4,36-59; 2Mak 10,1-8) wara l-profanazzjoni ta’ Antijoku IV Epifani, li tlitt snin qabel kien għamel l-ewwel sagrifiċċju lil Zeus. Il-festa sseħħ fuq tmint ijiem u fost l-oħrajn f’din il-festa jinqara Eżek 34, l-oraklu kontra r-rgħajja ta’ Iżrael. Fil-festa kienu jinxtegħlu dwal quddiem kull dar u kandelabru kbir b’disa’ friegħi fit-tempju, bħala sinjal tal-libertà miksuba mill-ġdid. </w:t>
      </w:r>
    </w:p>
    <w:p w14:paraId="47A8A3AD" w14:textId="3B2773EB" w:rsidR="004A7527" w:rsidRPr="004A7527" w:rsidRDefault="004A7527" w:rsidP="004A7527">
      <w:pPr>
        <w:widowControl w:val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mt-MT"/>
        </w:rPr>
      </w:pPr>
      <w:r w:rsidRPr="00757237">
        <w:rPr>
          <w:color w:val="000000" w:themeColor="text1"/>
          <w:sz w:val="24"/>
          <w:szCs w:val="24"/>
          <w:lang w:val="mt-MT"/>
        </w:rPr>
        <w:t xml:space="preserve">Minkejja l-perjodu differenti, għandna kontinwità tematika mad-diskors tar-ragħaj it-tajjeb (1-21). 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Fl-Ewwel Testment Iżrael spiss hu meqjus bħala l-merħla. F’Salm 100,3 naqraw: “aħna l-poplu tiegħu u n-nagħaġ tal-mergħa tiegħu”. Ta’ din il-merħla Alla hu r-ragħaj (Salm 23) għax Hu jeħles, jipproteġi, jassisti u jiġbor il-poplu tul l-istorja tiegħu. Daqstant ieħor huma rgħajja – f’isem ir-ragħaj – Mosé, ir-rejiet u l-kapijiet tal-poplu. Dawn tal-aħħar ifallu fl-irwol tagħhom għax “jirgħu lilhom infushom”</w:t>
      </w:r>
      <w:r w:rsidRPr="00757237">
        <w:rPr>
          <w:rFonts w:ascii="Calibri" w:hAnsi="Calibri" w:cs="Calibri"/>
          <w:i/>
          <w:iCs/>
          <w:color w:val="000000" w:themeColor="text1"/>
          <w:sz w:val="24"/>
          <w:szCs w:val="24"/>
          <w:lang w:val="mt-MT"/>
        </w:rPr>
        <w:t xml:space="preserve"> 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(Eżek 34,1), jisfruttaw lill-merħla, ma jeħdux ħsiebha u jabbanduwha, bil-konsegwenza li tisfa’ vittma tal-għadu u tixtered (Eżek 34,1-9). Għalhekk Alla stess jerġa’ jieħu għalih innifsu dan il-post u jwiegħed li jirgħa l-merħla tiegħu permezz tal-messija davidiku: “Jiena stess nirgħa n-nagħaġ tiegħi, u jiena nserraħhom, oraklu ta’ Sidi l-Mulej” (Eżek 34,15); “U nagħtikom rgħajja għal qalbi, li jirgħu bl-għerf u l-għaqal” (Ġer 3,15). “U nqiegħed fuqhom ragħaj wieħed, il-qaddej tiegħi David, u jieħu ħsiebhom u jirgħahom; hu jirgħahom u jkun ir-ragħaj tagħhom” (Eżek 34,23).</w:t>
      </w:r>
      <w:r w:rsidRPr="00757237">
        <w:rPr>
          <w:rFonts w:ascii="Calibri" w:hAnsi="Calibri" w:cs="Calibri"/>
          <w:b/>
          <w:bCs/>
          <w:color w:val="000000" w:themeColor="text1"/>
          <w:sz w:val="24"/>
          <w:szCs w:val="24"/>
          <w:lang w:val="mt-MT"/>
        </w:rPr>
        <w:t> </w:t>
      </w:r>
    </w:p>
    <w:p w14:paraId="197A24F5" w14:textId="7396CCD1" w:rsidR="004A7527" w:rsidRPr="00757237" w:rsidRDefault="004A7527" w:rsidP="004A7527">
      <w:pPr>
        <w:jc w:val="both"/>
        <w:rPr>
          <w:color w:val="000000" w:themeColor="text1"/>
          <w:sz w:val="24"/>
          <w:szCs w:val="24"/>
          <w:lang w:val="mt-MT"/>
        </w:rPr>
      </w:pPr>
      <w:r w:rsidRPr="00757237">
        <w:rPr>
          <w:color w:val="000000" w:themeColor="text1"/>
          <w:sz w:val="24"/>
          <w:szCs w:val="24"/>
          <w:lang w:val="mt-MT"/>
        </w:rPr>
        <w:t>Ġesù jinsab miexi fit-tempju taħt il-portiku ta’ Salamun (10,23), il-post fejn kienu jinġabru r-rabbini sabiex jiddiskutu diversi kwistjonijiet li kien ikollhom, primarjament ta’ natura legali. Il-kuntest huwa wieħed ta’ polemika jew proċess li qed isir lil Ġesù dwar l-identità tiegħu; Hu jiġi preżentat bħala Messija u Iben Alla. Huma infatti b’mod provokatorju jitolbuh: “Jekk inti l-Messija għidilna ċar u tond” (10,24). S’issa Ġesù dejjem evita li jiddikjara lilu nnifsu messija, aktarx frott ir-riskju ta’ interpretazzjonijiet nazzjonalistiċi u politiċi li kienu marbuta ma’ dan it-titlu. Fl-istess waqt kien wera li hu l-Iben ta’ Alla u l-Mibgħut tiegħu permezz ‘tal-għemejjel li jagħmel f’isem il-</w:t>
      </w:r>
      <w:r w:rsidRPr="00757237">
        <w:rPr>
          <w:color w:val="000000" w:themeColor="text1"/>
          <w:sz w:val="24"/>
          <w:szCs w:val="24"/>
          <w:lang w:val="mt-MT"/>
        </w:rPr>
        <w:lastRenderedPageBreak/>
        <w:t xml:space="preserve">Missier’ (10,25.32.37-38). Imma huma ma jemmnux ‘għax m’humiex min-nagħaġ tiegħU’ (10,26), anzi, “l-Lhud reġgħu qabdu l-ġebel biex iħaġġruh” (10,31). </w:t>
      </w:r>
    </w:p>
    <w:p w14:paraId="5EA19FD1" w14:textId="7B3C74F1" w:rsidR="004A7527" w:rsidRPr="00757237" w:rsidRDefault="004A7527" w:rsidP="004A7527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  <w:lang w:val="mt-MT"/>
        </w:rPr>
      </w:pPr>
      <w:r w:rsidRPr="00757237">
        <w:rPr>
          <w:color w:val="000000" w:themeColor="text1"/>
          <w:sz w:val="24"/>
          <w:szCs w:val="24"/>
          <w:lang w:val="mt-MT"/>
        </w:rPr>
        <w:t>In-nagħaġ ta’ Ġesù min-naħa l-oħra “jisimgħu leħni” (10,27; ara wkoll 10,3-5.8.16). It-tema tas-smiegħ fit-tradizzjoni Bibblika hija importanti ferm. Il-Lhudi ta’ kuljum jitlob is-Shema, li turi li r-relazzjoni bejn Alla u Iżrael hija mibnija primarjament fuq is-smiegħ, fuq il-fatt li dan Alla jitkellem, jidħol f’relazzjoni, tant li l-Iben stess hu l-Verb (1,1). Din il-kelma tant hi fundamentali li “</w:t>
      </w:r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val="mt-MT"/>
        </w:rPr>
        <w:t>j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ekk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int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tibqa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’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sieket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miegħi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,</w:t>
      </w:r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val="mt-MT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inkun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nixbah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lil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min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jinżel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fil-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ħofra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>”</w:t>
      </w:r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  <w:t xml:space="preserve"> </w:t>
      </w:r>
      <w:r w:rsidRPr="00757237">
        <w:rPr>
          <w:rFonts w:ascii="Calibri" w:hAnsi="Calibri" w:cs="Calibri"/>
          <w:color w:val="000000" w:themeColor="text1"/>
          <w:sz w:val="24"/>
          <w:szCs w:val="24"/>
        </w:rPr>
        <w:t>(Salm 28,1)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, u</w:t>
      </w:r>
      <w:r w:rsidRPr="00757237">
        <w:rPr>
          <w:color w:val="000000" w:themeColor="text1"/>
          <w:sz w:val="24"/>
          <w:szCs w:val="24"/>
          <w:lang w:val="mt-MT"/>
        </w:rPr>
        <w:t xml:space="preserve"> “il-bniedem mhux bil-ħobż biss jgħix, imma b’kull kelma li toħroġ minn fomm Alla” (Mt 4,4). Is-Salmista jitkarrab u jgħid: “Mhux li kontu llum tisimgħu leħnu! La twebbsux qalbkom bħal f’Meriba...” (Salm 95, 7-8). Il-poplu taħt is-Sinaj ‘semgħu l-ħoss tal-kliem, imma ma raw ebda xbieha, leħen biss’ (Dt 4,12). Dan il-leħen issa hu dak tal-Iben! Il-leħen, b’differenza mill-viżjoni, jimplika ħafna aktar intimità u relazzjoni. L-ispeċifiku tal-bniedem hija l-komunikazzjoni u dan iseħħ aktar permezz tal-kliem u tas-smiegħ milli permezz tal-ħars. In-nagħaġ huma għalhekk ‘dawk ta’ ġewwa’, dawk li Alla għoġbu jaqsam magħhom qalbu. </w:t>
      </w:r>
    </w:p>
    <w:p w14:paraId="48BE286D" w14:textId="595F4E0A" w:rsidR="004A7527" w:rsidRPr="004A7527" w:rsidRDefault="004A7527" w:rsidP="004A7527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757237">
        <w:rPr>
          <w:color w:val="000000" w:themeColor="text1"/>
          <w:sz w:val="24"/>
          <w:szCs w:val="24"/>
          <w:lang w:val="mt-MT"/>
        </w:rPr>
        <w:t xml:space="preserve">Is-smiegħ ovvjament jimplika tweġiba; jimplika li tilqa’ u tafda din il-kelma li qed tisma’, u taġixxi fuqha, tant li fil-lingwa Lhudija smiegħ u ubbidjenza huma l-istess kelma. Kemm hu importanti li wieħed jagħti ħin għal dan is-smiegħ 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biex jinħeles mill-inganni, biex jiltaqa’ mar-realtà ta’ ħajtu u dik ta’ Alla, biex jiġi ferut jekk hemm bżonn mill-Kelma, imma wkoll ikkunslat, megħjun, mogħti direzzjoni ġdida eċċ. Fil-mixja tal-fidi aħna spiss mifxula biex nifhmu u nżidu t-tagħrif, imma l-bżonn ċentrali hu d-djalogu, l-kuntatt, li nilqgħu din il-kelma li tidħol fil-fond. Infatti </w:t>
      </w:r>
      <w:r w:rsidRPr="00757237">
        <w:rPr>
          <w:rFonts w:ascii="Calibri" w:hAnsi="Calibri" w:cs="Calibri"/>
          <w:color w:val="000000" w:themeColor="text1"/>
          <w:spacing w:val="-7"/>
          <w:sz w:val="24"/>
          <w:szCs w:val="24"/>
          <w:bdr w:val="none" w:sz="0" w:space="0" w:color="auto" w:frame="1"/>
          <w:lang w:val="mt-MT" w:eastAsia="en-GB"/>
        </w:rPr>
        <w:t>“</w:t>
      </w:r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>i</w:t>
      </w:r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kelma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ta’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Alla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hi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ħajja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qawwija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taqta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’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aktar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minn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xabla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b’żewġt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ixfar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;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hija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tinfed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sa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tifred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minn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xulxin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ir-ruħ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ispirtu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ġogi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mudullun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; u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tgħarbel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il-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ħsibijiet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fehmiet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tal-qalb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Xejn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ma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hemm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fil-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ħolqien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li hu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moħbi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għalih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imma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kollox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hu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miftuħ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għal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għajnejn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Alla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li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lilu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rridu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nagħtu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kont</w:t>
      </w:r>
      <w:proofErr w:type="spellEnd"/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>” (Lhud 4,12-13)</w:t>
      </w:r>
      <w:r w:rsidRPr="00757237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</w:p>
    <w:p w14:paraId="242502BD" w14:textId="3841C5A7" w:rsidR="004A7527" w:rsidRPr="00757237" w:rsidRDefault="004A7527" w:rsidP="004A7527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  <w:lang w:val="mt-MT"/>
        </w:rPr>
      </w:pPr>
      <w:r w:rsidRPr="00757237">
        <w:rPr>
          <w:color w:val="000000" w:themeColor="text1"/>
          <w:sz w:val="24"/>
          <w:szCs w:val="24"/>
          <w:lang w:val="mt-MT"/>
        </w:rPr>
        <w:t>Din l-insistenza fuq ir-relazzjoni tkompli permezz ta’ kwalità oħra tan-nagħaġ: huma ‘magħrufa’ minn Ġesù (10,27), verb li juri għaqda personali u profonda, daqs dik bejn il-Missier u l-Iben. Ftit versi qabel insibu: “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Jiena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r-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ragħaj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it-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tajjeb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;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jiena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nagħraf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in-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nagħaġ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tiegħi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, u n-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nagħaġ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tiegħi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jagħrfu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lili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bħalma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l-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Missier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jagħraf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lili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jiena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nagħraf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lill-Missier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; u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għan-nagħaġ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tiegħi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nagħti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ħajti</w:t>
      </w:r>
      <w:proofErr w:type="spellEnd"/>
      <w:r w:rsidRPr="00757237">
        <w:rPr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>” (10,14-15)</w:t>
      </w:r>
      <w:r w:rsidRPr="00757237">
        <w:rPr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  <w:r w:rsidRPr="00757237">
        <w:rPr>
          <w:color w:val="000000" w:themeColor="text1"/>
          <w:sz w:val="24"/>
          <w:szCs w:val="24"/>
          <w:lang w:val="mt-MT"/>
        </w:rPr>
        <w:t xml:space="preserve"> Dan il-verb huwa l-verb tal-għaqda tal-miżżewġin, tal-għarfien profond u tal-qalb. Jidher għalhekk li l-leħen ta’ dan ir-ragħaj jidħol fil-qalb, imiss il-qalb. Dak li jgħid hu jinħass fil-profond bħala veru, tajjeb u sabiħ. In-nagħaġ iħossu tassew li xi ħadd jagħrafhom, jafhom – aktar ma jafu huma stess lilhom infushom – u għalhekk qed ikellem lilhom! Kemm hi għalhekk neċessarja l-memorja kontinwa 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ta’ meta ħassejniha magħrufa u miżjura minn Ġesù.</w:t>
      </w:r>
      <w:r w:rsidRPr="00757237">
        <w:rPr>
          <w:color w:val="000000" w:themeColor="text1"/>
          <w:sz w:val="24"/>
          <w:szCs w:val="24"/>
          <w:lang w:val="mt-MT"/>
        </w:rPr>
        <w:t xml:space="preserve"> Infatti ‘l-għarfien’ fl-Iskrittura mhux tant marbut mal-intellett daqskemm mal-esperjenza. </w:t>
      </w:r>
    </w:p>
    <w:p w14:paraId="44626DFC" w14:textId="6283A054" w:rsidR="004A7527" w:rsidRPr="00757237" w:rsidRDefault="004A7527" w:rsidP="004A7527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  <w:lang w:val="mt-MT"/>
        </w:rPr>
      </w:pPr>
      <w:r w:rsidRPr="00757237">
        <w:rPr>
          <w:color w:val="000000" w:themeColor="text1"/>
          <w:sz w:val="24"/>
          <w:szCs w:val="24"/>
          <w:lang w:val="mt-MT"/>
        </w:rPr>
        <w:t xml:space="preserve">U huwa frott dan is-smiegħ u dan l-għarfien li jaslu biex ‘jimxu warajH’ (10,27). B’dan il-mod imexxi Ġesù: bil-qawwa tal-Kelma li fl-intimità tiegħi nagħrafha bħala vera u turini jien min jien. Aħna nistgħu pastoralment nagħżlu toroq differenti: nipproponu regoli u sens ta’ appartenenza ġieli billi nnisslu ftit il-biża’ jew is-sens ta’ ħtija, billi nużaw theddid pulit eċċ, imma mingħajr ma’ seħħet il-laqgħa mal-Kelma tal-Ħajja, mar-Ragħaj is-Sabiħ. F’din is-silta hu ċar li ‘il-mixja’ ssegwi </w:t>
      </w:r>
      <w:r w:rsidRPr="00757237">
        <w:rPr>
          <w:color w:val="000000" w:themeColor="text1"/>
          <w:sz w:val="24"/>
          <w:szCs w:val="24"/>
          <w:lang w:val="mt-MT"/>
        </w:rPr>
        <w:lastRenderedPageBreak/>
        <w:t xml:space="preserve">‘l-għarfien u s-smiegħ’; ir-relazzjoni intima. Imbagħad kull azzjoni ta’ ħajti, u kull ġlieda spiritwali sseħħ biex jien inħares din ir-relazzjoni; għax ma nistax nitlifha. </w:t>
      </w:r>
    </w:p>
    <w:p w14:paraId="30EEAA39" w14:textId="6EAAA8C7" w:rsidR="004A7527" w:rsidRPr="004A7527" w:rsidRDefault="004A7527" w:rsidP="004A7527">
      <w:pPr>
        <w:pStyle w:val="NoSpacing"/>
        <w:spacing w:after="160" w:line="259" w:lineRule="auto"/>
        <w:jc w:val="both"/>
        <w:rPr>
          <w:color w:val="000000" w:themeColor="text1"/>
          <w:sz w:val="24"/>
          <w:szCs w:val="24"/>
          <w:lang w:val="mt-MT"/>
        </w:rPr>
      </w:pPr>
      <w:r w:rsidRPr="00757237">
        <w:rPr>
          <w:color w:val="000000" w:themeColor="text1"/>
          <w:sz w:val="24"/>
          <w:szCs w:val="24"/>
          <w:lang w:val="mt-MT"/>
        </w:rPr>
        <w:t xml:space="preserve">Fit-tieni qari ta’ dan il-Ħadd, minn Apok 7, dan kollu hu miġbur fl-immaġni paradossali tar-ragħaj preżentat bħala ‘l-ħaruf li qiegħed f’nofs it-tron u li jwassalhom ħdejn l-ilmijiet tal-għejjun tal-ħajja’. Ir-ragħaj it-tajjeb huwa l-ħaruf “wieqaf, bħal maqtul” (Apok 5,6), dak li jagħti ħajtu u għalhekk jagħti l-ħajja. </w:t>
      </w:r>
    </w:p>
    <w:p w14:paraId="0F210E86" w14:textId="2419DA92" w:rsidR="004A7527" w:rsidRPr="00757237" w:rsidRDefault="004A7527" w:rsidP="004A7527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mt-MT"/>
        </w:rPr>
      </w:pP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Infatti bħala don hu jagħtihom “il-ħajja ta’ dejjem” (10,28) (</w:t>
      </w:r>
      <w:r w:rsidRPr="00757237">
        <w:rPr>
          <w:rFonts w:ascii="Calibri" w:hAnsi="Calibri" w:cs="Calibri"/>
          <w:i/>
          <w:iCs/>
          <w:color w:val="000000" w:themeColor="text1"/>
          <w:sz w:val="24"/>
          <w:szCs w:val="24"/>
          <w:lang w:val="mt-MT"/>
        </w:rPr>
        <w:t>zoen aionion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) sa mil-lum, għax hu ġie “biex ikollhom il-ħajja u l-ħajja bil-kotra” (10,10). Fil-progressjoni tas-silta hu ċar li dan id-don hu marbut mal-kelma ta’ Ġesù, mas-smiegħ tagħha u mal-fidi/relazzjoni li toħroġ minnha. Infatti hu Ġesù li għandu “</w:t>
      </w:r>
      <w:r w:rsidRPr="00757237">
        <w:rPr>
          <w:rFonts w:ascii="Calibri" w:hAnsi="Calibri" w:cs="Calibri"/>
          <w:i/>
          <w:iCs/>
          <w:color w:val="000000" w:themeColor="text1"/>
          <w:sz w:val="24"/>
          <w:szCs w:val="24"/>
          <w:lang w:val="mt-MT"/>
        </w:rPr>
        <w:t>l-kliem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 tal-ħajja ta’ dejjem” (6.68) u “tassew tassew ngħidilkom li min jisma’ kelmti u jemmen f’min bagħatni għandu l-ħajja ta’ dejjem, u ma jsirx ħaqq minnu, imma għadda mill-mewt għall-ħajja” (5,24). Fil-kapitlu ta’ wara naqraw: “</w:t>
      </w:r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Din hi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tabilħaqq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ir-rieda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ta’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Missieri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: li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kull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min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jara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lill-Iben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jemmen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fih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ikollu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l-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ħajja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ta’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dejjem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jiena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nqajmu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mill-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imwiet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fl-aħħar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jum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”</w:t>
      </w:r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 xml:space="preserve"> (6,40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) u fid-diskors tal-aħħar ċena: “</w:t>
      </w:r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>d</w:t>
      </w:r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in hi l-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ħajja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ta’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dejjem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li </w:t>
      </w:r>
      <w:proofErr w:type="spellStart"/>
      <w:r w:rsidRPr="00757237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bdr w:val="none" w:sz="0" w:space="0" w:color="auto" w:frame="1"/>
          <w:lang w:eastAsia="en-GB"/>
        </w:rPr>
        <w:t>jagħrfu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lilek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Alla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waħdek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veru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u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lil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Ġesù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Kristu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li inti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bgħatt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>” (17,3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). Dan kollu juri li l-ħajja ġdida, bħal kull ħajja, titwieled mir-relazzjoni, din id-darba ma’ Ġesù, għalhekk titwieled ‘minn fuq’ jew ‘mill-ġdid’ (3,3). L-allat pagani ma ridux jagħtu din il-ħajja. Kienu għajjura għall-ħajja ‘divina’ tagħhom. Hekk juru l-miti tal-antikità. Għal kuntrarju, l-Alla tal-Iskrittura jdaħħal f’din il-ħajja tiegħu – f’din ir-relazzjoni – lilna; mifxul biex jagħtihilna! </w:t>
      </w:r>
    </w:p>
    <w:p w14:paraId="0EF26AD3" w14:textId="0EE2EBAF" w:rsidR="004A7527" w:rsidRPr="00757237" w:rsidRDefault="004A7527" w:rsidP="004A7527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mt-MT"/>
        </w:rPr>
      </w:pP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U b’konsegwenza “ma jintilfu qatt u minn idejja ma jaħtafhomli ħadd”. Hekk nerġgħu naqraw f’17,12: “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Kemm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domt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magħhom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jiena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ħaristhom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fl-isem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tiegħek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, l-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isem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li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tajtni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U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jiena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ħadt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ħsiebhom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u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ħadd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minnhom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ma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ntilef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ħlief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bin it-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telfien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biex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isseħħ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l-</w:t>
      </w:r>
      <w:proofErr w:type="spellStart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eastAsia="en-GB"/>
        </w:rPr>
        <w:t>Iskrittura</w:t>
      </w:r>
      <w:proofErr w:type="spellEnd"/>
      <w:r w:rsidRPr="00757237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lang w:val="mt-MT" w:eastAsia="en-GB"/>
        </w:rPr>
        <w:t>”</w:t>
      </w: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. Aħna, xi ftit jew wisq, kontinwament inħossu li l-ħajja tagħna hi taħt theddida, f’periklu; l-ansja hi dejjem kumpann tal-qalb tagħna. Il-biża’ kontinwu tal-bniedem hu li jara ħajtu tintilef. Infatti diffiċli nħobbu għax fl-imħabba wieħed iħossu li qed ‘imut/jintilef’. Madanakollu, min għandu b’don il-ħajja ta’ dejjem jista’ jħobb; min hu ċert li hu f’idejn l-Iben, jista’ ‘jitlef ħajtu biex isibha mill-ġdid’ (Mt 16,25). U din iċ-ċertezza tiġi mill-fatt li hu ‘jagħti ħajtu għan-nagħaġ tiegħu’ (10,11.15.17-18): “b'dan naslu biex nagħrfu x'inhi l-imħabba: li Ġesù Kristu ta ħajtu għalina. Aħna wkoll mela għandna nagħtu ħajjitna għall-aħwa” (1Ġw 3,16). Ara wkoll Rum 8,35-39: “Min se jifridna mill-imħabba ta’ Kristu...”</w:t>
      </w:r>
    </w:p>
    <w:p w14:paraId="04F8E8AA" w14:textId="77777777" w:rsidR="004A7527" w:rsidRPr="00757237" w:rsidRDefault="004A7527" w:rsidP="004A7527">
      <w:pPr>
        <w:pStyle w:val="NoSpacing"/>
        <w:spacing w:after="160" w:line="259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</w:pP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 xml:space="preserve">Iċ-ċertezza ta’ dan kollu hija wkoll l-għaqda sħiħa li teżisti bejn il-Missier u l-Iben, tant li dak li hu tal-Missier hu tal-Iben u dak li jagħmel l-Iben jagħmlu l-Missier: “Missieri li tahomli, hu akbar minn kulħadd, u ħadd ma jista’ jaħtafhom minn id il-Missier” (10,29). Varjant ieħor, fost oħrajn, ta’ dan il-vers jgħid: “Dak li tani Missieri hu akbar minn kollox”. F’kull każ l-attenzjoni hi fuq il-prezzjożita tal-merħla għall-Missier u ċ-ċertezza li hi tista’ tgawdi għax tinsab f’idejh, jew f’idejhom. Infatti “Jien u l-Missier aħna ħaġa waħda” jew “aħna wieħed”. </w:t>
      </w:r>
    </w:p>
    <w:p w14:paraId="5C027B3A" w14:textId="77777777" w:rsidR="004A7527" w:rsidRPr="00757237" w:rsidRDefault="004A7527" w:rsidP="004A7527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06EC224" w14:textId="3058B8EE" w:rsidR="00D2529C" w:rsidRPr="004A7527" w:rsidRDefault="004A7527" w:rsidP="004A7527">
      <w:pPr>
        <w:pStyle w:val="NoSpacing"/>
        <w:spacing w:after="160" w:line="259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mt-MT"/>
        </w:rPr>
      </w:pPr>
      <w:r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Xi siltiet għat-talb personali: Salm 95; Ġw 1,35-49; Ġw 3,1-21; Ġw 21,15-19.</w:t>
      </w:r>
    </w:p>
    <w:sectPr w:rsidR="00D2529C" w:rsidRPr="004A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C14B1"/>
    <w:rsid w:val="00405E41"/>
    <w:rsid w:val="00407EAA"/>
    <w:rsid w:val="00420C8C"/>
    <w:rsid w:val="004A7527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6C791B"/>
    <w:rsid w:val="0071320F"/>
    <w:rsid w:val="00724B7D"/>
    <w:rsid w:val="0076579E"/>
    <w:rsid w:val="007971FD"/>
    <w:rsid w:val="007D4BF0"/>
    <w:rsid w:val="007E1FB0"/>
    <w:rsid w:val="00835412"/>
    <w:rsid w:val="00844577"/>
    <w:rsid w:val="00877A71"/>
    <w:rsid w:val="008B250F"/>
    <w:rsid w:val="0093290A"/>
    <w:rsid w:val="0095314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B56910"/>
    <w:rsid w:val="00C16030"/>
    <w:rsid w:val="00C415E6"/>
    <w:rsid w:val="00CB1D88"/>
    <w:rsid w:val="00CC21BC"/>
    <w:rsid w:val="00CD2BF8"/>
    <w:rsid w:val="00D13B90"/>
    <w:rsid w:val="00D2529C"/>
    <w:rsid w:val="00D64A97"/>
    <w:rsid w:val="00DC104F"/>
    <w:rsid w:val="00DD4151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48</cp:revision>
  <dcterms:created xsi:type="dcterms:W3CDTF">2021-02-16T07:26:00Z</dcterms:created>
  <dcterms:modified xsi:type="dcterms:W3CDTF">2022-05-04T09:12:00Z</dcterms:modified>
</cp:coreProperties>
</file>