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61E5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52"/>
          <w:szCs w:val="40"/>
          <w:lang w:val="it-IT"/>
          <w14:cntxtAlts/>
        </w:rPr>
      </w:pPr>
      <w:r w:rsidRPr="00F17222">
        <w:rPr>
          <w:rFonts w:ascii="Candara" w:eastAsia="Times New Roman" w:hAnsi="Candara" w:cs="Times New Roman"/>
          <w:b w:val="0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DA25E71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490DDD22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</w:pPr>
    </w:p>
    <w:p w14:paraId="33E93127" w14:textId="47057E14" w:rsidR="008E2B7B" w:rsidRPr="00F17222" w:rsidRDefault="00897C7D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It</w:t>
      </w:r>
      <w:r w:rsidR="0058420B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-</w:t>
      </w:r>
      <w:r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Tieni</w:t>
      </w:r>
      <w:r w:rsidR="008E2B7B" w:rsidRPr="00F17222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 xml:space="preserve"> Ħadd </w:t>
      </w:r>
      <w:r w:rsidR="0058420B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tal-Avvent</w:t>
      </w:r>
    </w:p>
    <w:p w14:paraId="140F69CE" w14:textId="1A7BA6ED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 w:rsidRPr="00F17222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 xml:space="preserve">Sena </w:t>
      </w:r>
      <w:r w:rsidR="00C77969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Ċ</w:t>
      </w:r>
    </w:p>
    <w:p w14:paraId="2E5AC600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2"/>
          <w:lang w:val="mt-MT"/>
          <w14:cntxtAlts/>
        </w:rPr>
      </w:pPr>
    </w:p>
    <w:p w14:paraId="6DCE2FB3" w14:textId="11BF6EE6" w:rsidR="00DA2C05" w:rsidRDefault="0058420B" w:rsidP="000926D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</w:pPr>
      <w:r w:rsidRPr="0058420B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 xml:space="preserve">Lq </w:t>
      </w:r>
      <w:r w:rsidR="00897C7D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3</w:t>
      </w:r>
      <w:r w:rsidRPr="0058420B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:</w:t>
      </w:r>
      <w:r w:rsidR="00897C7D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1</w:t>
      </w:r>
      <w:r w:rsidRPr="0058420B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-6</w:t>
      </w:r>
    </w:p>
    <w:p w14:paraId="325F4931" w14:textId="0C87BDE9" w:rsidR="000926D0" w:rsidRPr="00B70654" w:rsidRDefault="000926D0" w:rsidP="00B70654">
      <w:pPr>
        <w:widowControl w:val="0"/>
        <w:jc w:val="both"/>
        <w:rPr>
          <w:rFonts w:asciiTheme="minorHAnsi" w:eastAsia="Times New Roman" w:hAnsiTheme="minorHAnsi" w:cstheme="minorHAnsi"/>
          <w:b w:val="0"/>
          <w:color w:val="000000"/>
          <w:kern w:val="28"/>
          <w:lang w:val="mt-MT"/>
          <w14:cntxtAlts/>
        </w:rPr>
      </w:pPr>
    </w:p>
    <w:p w14:paraId="4E8D56B4" w14:textId="6688293B" w:rsidR="000926D0" w:rsidRDefault="000926D0" w:rsidP="00B70654">
      <w:pPr>
        <w:widowControl w:val="0"/>
        <w:jc w:val="both"/>
        <w:rPr>
          <w:rFonts w:asciiTheme="minorHAnsi" w:eastAsia="Times New Roman" w:hAnsiTheme="minorHAnsi" w:cstheme="minorHAnsi"/>
          <w:b w:val="0"/>
          <w:color w:val="000000"/>
          <w:kern w:val="28"/>
          <w:lang w:val="mt-MT"/>
          <w14:cntxtAlts/>
        </w:rPr>
      </w:pPr>
    </w:p>
    <w:p w14:paraId="7F0E0161" w14:textId="22D574D1" w:rsidR="000926D0" w:rsidRPr="000926D0" w:rsidRDefault="00DC0882" w:rsidP="00B70654">
      <w:pPr>
        <w:jc w:val="both"/>
        <w:rPr>
          <w:rFonts w:asciiTheme="minorHAnsi" w:hAnsiTheme="minorHAnsi" w:cstheme="minorHAnsi"/>
          <w:b w:val="0"/>
          <w:i/>
        </w:rPr>
      </w:pPr>
      <w:r w:rsidRPr="00DC0882">
        <w:rPr>
          <w:rFonts w:asciiTheme="minorHAnsi" w:hAnsiTheme="minorHAnsi" w:cstheme="minorHAnsi"/>
          <w:i/>
        </w:rPr>
        <w:t>Fis-sena ħmistax tal-ħakma ta’ Tiberju Ċesari, meta Ponzju Pilatu kien gvernatur tal-Lhudija, Erodi tetrarka tal-Galilija, ħuh Filippu tetrarka tal-artijiet tal-Iturija u t-Trakonija, u Lisanja tetrarka ta’ Abileni, fiż-żmien meta l-uffiċċju ta’ qassis il-kbir kien f’idejn Anna u Kajfa,</w:t>
      </w:r>
    </w:p>
    <w:p w14:paraId="5F89ED51" w14:textId="19CEE0A0" w:rsidR="000926D0" w:rsidRPr="00DC0882" w:rsidRDefault="00DC0882" w:rsidP="00B70654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  <w:r w:rsidRPr="00DC0882">
        <w:rPr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  <w:lang w:val="mt-MT"/>
        </w:rPr>
        <w:t>Hija tipika ta’ Luqa li jpoġġi l-ġrajjiet li jirrakkonta fi kwadru storiku strutturat (sinkroniżmu). Din hija t-tielet darba li jagħmilha (cf. 1,5; 2,1). L-iskop tiegħu mhux tant li jkun preċiż fil-kronoloġija daqskemm li jatwalizza l-ġrajjiet f’kuntest aktar wiesa’. Huwa anke mod kif jgħid li dawn il-ġrajjiet qed iseħħu fl-istorja konkreta tagħna. Jissemmew 7 personaġġi, pagani u Lhud, biex tiġi indikata l-milja tal-istorja. Il-kelma t’Alla hija mxandra lil kulħadd, Lhud u m’humiex, għax kull bniedem huwa msejjaħ għas-salvazzjoni (v.6). Pilatu u Erodi (Antipa, iben Erodi l-kbir) jilgħabu rwol importanti aktar ‘il quddiem fil-passjoni ta’ Ġesù. Anna kien qassis il-kbir bejn 6-15 W.K. waqt li Kajfa, ir-raġel ta’ bintu, kien is-suċċessur tiegħu bejn 18-36 W.K, għalkemm Anna baqa’ influwenti fit-tmexxija</w:t>
      </w:r>
      <w:r w:rsidR="000926D0" w:rsidRPr="00DC0882">
        <w:rPr>
          <w:rFonts w:asciiTheme="minorHAnsi" w:hAnsiTheme="minorHAnsi" w:cstheme="minorHAnsi"/>
          <w:b w:val="0"/>
          <w:bCs w:val="0"/>
          <w:lang w:val="mt-MT"/>
        </w:rPr>
        <w:t>.</w:t>
      </w:r>
    </w:p>
    <w:p w14:paraId="72A28C6C" w14:textId="77777777" w:rsidR="00B70654" w:rsidRPr="00B70654" w:rsidRDefault="00B70654" w:rsidP="00B70654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</w:p>
    <w:p w14:paraId="49622A45" w14:textId="4412BCD2" w:rsidR="000926D0" w:rsidRPr="000926D0" w:rsidRDefault="00DC0882" w:rsidP="00B70654">
      <w:pPr>
        <w:jc w:val="both"/>
        <w:rPr>
          <w:rFonts w:asciiTheme="minorHAnsi" w:hAnsiTheme="minorHAnsi" w:cstheme="minorHAnsi"/>
          <w:i/>
          <w:lang w:val="en-US"/>
        </w:rPr>
      </w:pPr>
      <w:r w:rsidRPr="00DC0882">
        <w:rPr>
          <w:rFonts w:asciiTheme="minorHAnsi" w:hAnsiTheme="minorHAnsi" w:cstheme="minorHAnsi"/>
          <w:i/>
        </w:rPr>
        <w:t>il-kelma tal-Mulej ġiet fuq Ġwanni bin Żakkarija, fid-deżert</w:t>
      </w:r>
      <w:r w:rsidR="000926D0" w:rsidRPr="000926D0">
        <w:rPr>
          <w:rFonts w:asciiTheme="minorHAnsi" w:hAnsiTheme="minorHAnsi" w:cstheme="minorHAnsi"/>
          <w:i/>
        </w:rPr>
        <w:t>.</w:t>
      </w:r>
    </w:p>
    <w:p w14:paraId="55FC7DD8" w14:textId="5DAF4AD5" w:rsidR="000926D0" w:rsidRPr="00DC0882" w:rsidRDefault="00DC0882" w:rsidP="00B70654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  <w:r w:rsidRPr="00DC0882">
        <w:rPr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  <w:lang w:val="mt-MT"/>
        </w:rPr>
        <w:t>‘Il-kelma tal-Mulej’ hija tematika importanti f’Luqa u għandha sinifikat teoloġiku (cf. 5,1; 8,11; Atti 4,4 eċċ). Il-post li fuqu tasal din il-kelma huwa d-deżert. Huwa l-post vojt u inabitabbli fejn il-bniedem isib il-verità tiegħu nnifsu u ta’ Alla. Is-silenzju tiegħu huwa l-art adattata biex tilqa’ din il-kelma. Id-deżert ifakkarna fl-esperjenza tal-Eżodu, il-ħruġ mill-iskjavitù għal-libertà. Id-deżert kien il-post ta’ formazzjoni għal-Lhud. Kien fih li huwa sar poplu, permezz tad-diffikultajiet komuni li ssuperaw flimkien, permezz tal-istess għan li jaslu fl-art imwegħda, permezz tas-smigh tal-kelma u l-kondiviżjoni tal-istess ikel. Fid-deżert kulħadd huwa ugwali: iż-żejjed li jkollok, k’ma taqsmux, jaf isir kawża ta’ diviżjoni fost il-poplu. Fid-deżert m’hemmx ċans li wieħed jippossedi l-art li jkun fuqha għax qiegħed dejjem f’mixja lejn id-destin finali. Fid-deżert jew aħna aħwa jew inkella mhux postna hemm. Ġwanni l-Battista jgħix fid-deżert biex jindika li l-istat kontinwu tal-ħajja tal-bniedem huwa dak tal-eżodu: jeħtieġ joħroġ il-ħin kollu minn kull skjavitù u jimxi lejn il-ħelsien imwiegħed minn Alla. Id-deżert huwa fil-qosor it-triq ta’ Alla. Fuq livell personali, id-deżert huwa l-ħruġ minni nnifsi, il-ħruġ mill-identità falza tiegħi, mill-passat tiegħu tad-dnub biex nintefa fin-</w:t>
      </w:r>
      <w:r w:rsidRPr="00DC0882">
        <w:rPr>
          <w:rFonts w:asciiTheme="minorHAnsi" w:hAnsiTheme="minorHAnsi" w:cstheme="minorHAnsi"/>
          <w:b w:val="0"/>
          <w:bCs w:val="0"/>
          <w:i/>
          <w:iCs/>
          <w:color w:val="000000" w:themeColor="text1"/>
          <w:shd w:val="clear" w:color="auto" w:fill="FFFFFF"/>
          <w:lang w:val="mt-MT"/>
        </w:rPr>
        <w:t xml:space="preserve">novum </w:t>
      </w:r>
      <w:r w:rsidRPr="00DC0882">
        <w:rPr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  <w:lang w:val="mt-MT"/>
        </w:rPr>
        <w:t>ta’ Alla. Il-bniedem huwa essenzjalment ‘eżodu’, f’mixja lejn il-milja tiegħu fi Kristu.</w:t>
      </w:r>
      <w:r w:rsidR="000926D0" w:rsidRPr="00DC0882">
        <w:rPr>
          <w:rFonts w:asciiTheme="minorHAnsi" w:hAnsiTheme="minorHAnsi" w:cstheme="minorHAnsi"/>
          <w:b w:val="0"/>
          <w:bCs w:val="0"/>
          <w:lang w:val="mt-MT"/>
        </w:rPr>
        <w:t xml:space="preserve"> </w:t>
      </w:r>
    </w:p>
    <w:p w14:paraId="5274AD12" w14:textId="77777777" w:rsidR="000926D0" w:rsidRPr="00346473" w:rsidRDefault="000926D0" w:rsidP="00B70654">
      <w:pPr>
        <w:jc w:val="both"/>
        <w:rPr>
          <w:rFonts w:asciiTheme="minorHAnsi" w:hAnsiTheme="minorHAnsi" w:cstheme="minorHAnsi"/>
          <w:b w:val="0"/>
          <w:bCs w:val="0"/>
          <w:i/>
        </w:rPr>
      </w:pPr>
    </w:p>
    <w:p w14:paraId="61207111" w14:textId="55D41F6F" w:rsidR="000926D0" w:rsidRPr="000926D0" w:rsidRDefault="006A4D2B" w:rsidP="00B70654">
      <w:pPr>
        <w:jc w:val="both"/>
        <w:rPr>
          <w:rFonts w:asciiTheme="minorHAnsi" w:hAnsiTheme="minorHAnsi" w:cstheme="minorHAnsi"/>
          <w:b w:val="0"/>
          <w:i/>
        </w:rPr>
      </w:pPr>
      <w:r w:rsidRPr="006A4D2B">
        <w:rPr>
          <w:rFonts w:asciiTheme="minorHAnsi" w:hAnsiTheme="minorHAnsi" w:cstheme="minorHAnsi"/>
          <w:i/>
        </w:rPr>
        <w:t>U ġie fl-inħawi kollha ta’ madwar il-Ġordan, ixandar magħmudija ta’ ndiema għall-maħfra tad-dnubiet,</w:t>
      </w:r>
    </w:p>
    <w:p w14:paraId="48B5AE66" w14:textId="25F57071" w:rsidR="008B72DB" w:rsidRPr="00DC0882" w:rsidRDefault="00383091" w:rsidP="008B72DB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  <w:r w:rsidRPr="00383091">
        <w:rPr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  <w:lang w:val="mt-MT"/>
        </w:rPr>
        <w:t>Il-magħmudija tfisser togħdos. Dan iseħħ ritwalment fis-sagrament tal-magħmudija imma jesprimi d-destin tar-realtà umana. Għad jiġi l-mument li fih ngħoddsu f’qiegħ l-art permezz tal-mewt, biex imbgħad inqumu għal ħajja ġdida. Hija tfakkira għall-bniedem li mhuwiex Alla, għax xi darba jrid imut, imma fl-istess ħin jixtieq ikun bħalu, immortali, għax maħluq fuq xbieha tiegħu. Għalhekk il-magħmudija u l-indiema huma marbuta flimkien. Indiema/konverżjoni-</w:t>
      </w:r>
      <w:r w:rsidRPr="00383091">
        <w:rPr>
          <w:rFonts w:asciiTheme="minorHAnsi" w:hAnsiTheme="minorHAnsi" w:cstheme="minorHAnsi"/>
          <w:b w:val="0"/>
          <w:bCs w:val="0"/>
          <w:i/>
          <w:iCs/>
          <w:color w:val="000000" w:themeColor="text1"/>
          <w:shd w:val="clear" w:color="auto" w:fill="FFFFFF"/>
          <w:lang w:val="mt-MT"/>
        </w:rPr>
        <w:t>metanoia</w:t>
      </w:r>
      <w:r w:rsidRPr="00383091">
        <w:rPr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  <w:lang w:val="mt-MT"/>
        </w:rPr>
        <w:t>, letteralment tibdel fehemtek jew il-perspettiva tiegħek. Timplika wkoll li ‘terġa lura’ mit-triq li tkun qbadt. Il-‘maħfra tad-dnubiet’ bħala riżultat tal-konverżjoni hija għal Luqa element kostanti tal-aħbar it-tajba (cf. 24,47; Atti 5,31; 10,43 eċċ)</w:t>
      </w:r>
      <w:r w:rsidR="008B72DB" w:rsidRPr="00DC0882">
        <w:rPr>
          <w:rFonts w:asciiTheme="minorHAnsi" w:hAnsiTheme="minorHAnsi" w:cstheme="minorHAnsi"/>
          <w:b w:val="0"/>
          <w:bCs w:val="0"/>
          <w:lang w:val="mt-MT"/>
        </w:rPr>
        <w:t>.</w:t>
      </w:r>
    </w:p>
    <w:p w14:paraId="7CF066AD" w14:textId="77777777" w:rsidR="008B72DB" w:rsidRPr="00B70654" w:rsidRDefault="008B72DB" w:rsidP="008B72DB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</w:p>
    <w:p w14:paraId="2DA00312" w14:textId="37D315DD" w:rsidR="008B72DB" w:rsidRPr="000926D0" w:rsidRDefault="008B72DB" w:rsidP="008B72DB">
      <w:pPr>
        <w:jc w:val="both"/>
        <w:rPr>
          <w:rFonts w:asciiTheme="minorHAnsi" w:hAnsiTheme="minorHAnsi" w:cstheme="minorHAnsi"/>
          <w:i/>
          <w:lang w:val="en-US"/>
        </w:rPr>
      </w:pPr>
      <w:r w:rsidRPr="008B72DB">
        <w:rPr>
          <w:rFonts w:asciiTheme="minorHAnsi" w:hAnsiTheme="minorHAnsi" w:cstheme="minorHAnsi"/>
          <w:i/>
        </w:rPr>
        <w:t>kif hemm imniżżel fil-ktieb tal-profeziji ta’ Iżaija: “Leħen ta’ wieħed jgħajjat fid-deżert: Ħejju t-triq tal-Mulej, iddrittaw il-mogħdijiet tiegħu. Kull wied jimtela, kull muntanja u għolja titbaxxa, il-mogħdijiet mgħawwġa jiddrittaw, u t-triqat imħarbta jitwittew</w:t>
      </w:r>
      <w:r w:rsidRPr="000926D0">
        <w:rPr>
          <w:rFonts w:asciiTheme="minorHAnsi" w:hAnsiTheme="minorHAnsi" w:cstheme="minorHAnsi"/>
          <w:i/>
        </w:rPr>
        <w:t>.</w:t>
      </w:r>
    </w:p>
    <w:p w14:paraId="40DC7C86" w14:textId="585D755A" w:rsidR="00F87019" w:rsidRPr="00F87019" w:rsidRDefault="008B72DB" w:rsidP="00F87019">
      <w:pPr>
        <w:jc w:val="both"/>
        <w:rPr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  <w:lang w:val="mt-MT"/>
        </w:rPr>
      </w:pPr>
      <w:r w:rsidRPr="008B72DB">
        <w:rPr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  <w:lang w:val="mt-MT"/>
        </w:rPr>
        <w:t>L-evanġelista hawnhekk jirrepeti d-diskors ta’ Isaija 40, 3-5. Interessanti d-deskrizzjoni tal-Battista bħala ‘leħen’. Il-leħen jikkonkretizza l-kelma u l-kelma tagħti sens lil-leħen. Hekk ukoll aħna bħall-Battista għandna nkunu l-leħen li l-kelma tiegħu hija Kristu. Li tiddritta l-mogħdijiet ifisser li ma tibqax toħroġ ‘il barra mit-triq frott tad-dubju u l-ħela ta’ ħin fuq dak li mhux essenzjali. Il-‘widien’ li jridu jimtlew huma d-diskriminazzjoni, l-inġustizzja u d-disperazzjoni ta’ min qata’ qalbu, ta’ min ma jemminx li t-tajjeb li Alla wegħedna huwa possibbli. Il-ħniena u l-fidi huma l-mediċina biex jimtlew dawn il-widien. Mill-banda l-oħra, il-‘muntanja’ u l-‘għolja’ huma simboli tal-eżaltazzjoni, prużunzjoni u l-kburija. Dawn għandhom jitbaxxew. L-umiltà hija l-verità tal-bniedem għax mit-trab tal-art issawwar. Bniedem-</w:t>
      </w:r>
      <w:r w:rsidRPr="008B72DB">
        <w:rPr>
          <w:rFonts w:asciiTheme="minorHAnsi" w:hAnsiTheme="minorHAnsi" w:cstheme="minorHAnsi"/>
          <w:b w:val="0"/>
          <w:bCs w:val="0"/>
          <w:i/>
          <w:iCs/>
          <w:color w:val="000000" w:themeColor="text1"/>
          <w:shd w:val="clear" w:color="auto" w:fill="FFFFFF"/>
          <w:lang w:val="mt-MT"/>
        </w:rPr>
        <w:t>homo</w:t>
      </w:r>
      <w:r w:rsidRPr="008B72DB">
        <w:rPr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  <w:lang w:val="mt-MT"/>
        </w:rPr>
        <w:t>, umiltà-</w:t>
      </w:r>
      <w:r w:rsidRPr="008B72DB">
        <w:rPr>
          <w:rFonts w:asciiTheme="minorHAnsi" w:hAnsiTheme="minorHAnsi" w:cstheme="minorHAnsi"/>
          <w:b w:val="0"/>
          <w:bCs w:val="0"/>
          <w:i/>
          <w:iCs/>
          <w:color w:val="000000" w:themeColor="text1"/>
          <w:shd w:val="clear" w:color="auto" w:fill="FFFFFF"/>
          <w:lang w:val="mt-MT"/>
        </w:rPr>
        <w:t xml:space="preserve">humilitas </w:t>
      </w:r>
      <w:r w:rsidRPr="008B72DB">
        <w:rPr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  <w:lang w:val="mt-MT"/>
        </w:rPr>
        <w:t>u art-</w:t>
      </w:r>
      <w:r w:rsidRPr="008B72DB">
        <w:rPr>
          <w:rFonts w:asciiTheme="minorHAnsi" w:hAnsiTheme="minorHAnsi" w:cstheme="minorHAnsi"/>
          <w:b w:val="0"/>
          <w:bCs w:val="0"/>
          <w:i/>
          <w:iCs/>
          <w:color w:val="000000" w:themeColor="text1"/>
          <w:shd w:val="clear" w:color="auto" w:fill="FFFFFF"/>
          <w:lang w:val="mt-MT"/>
        </w:rPr>
        <w:t xml:space="preserve">humus </w:t>
      </w:r>
      <w:r w:rsidRPr="008B72DB">
        <w:rPr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  <w:lang w:val="mt-MT"/>
        </w:rPr>
        <w:t>għandhom l-istess għerq, u kemm tgħinu lill-bniedem meta jikkontempla din ir-realtà</w:t>
      </w:r>
      <w:r w:rsidR="00F87019">
        <w:rPr>
          <w:rFonts w:asciiTheme="minorHAnsi" w:hAnsiTheme="minorHAnsi" w:cstheme="minorHAnsi"/>
          <w:b w:val="0"/>
          <w:bCs w:val="0"/>
          <w:lang w:val="mt-MT"/>
        </w:rPr>
        <w:t>!</w:t>
      </w:r>
    </w:p>
    <w:p w14:paraId="65A1F892" w14:textId="77777777" w:rsidR="00F87019" w:rsidRPr="00B70654" w:rsidRDefault="00F87019" w:rsidP="00F87019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</w:p>
    <w:p w14:paraId="11C9D55B" w14:textId="2696636D" w:rsidR="00F87019" w:rsidRPr="000926D0" w:rsidRDefault="00DC2B04" w:rsidP="00F87019">
      <w:pPr>
        <w:jc w:val="both"/>
        <w:rPr>
          <w:rFonts w:asciiTheme="minorHAnsi" w:hAnsiTheme="minorHAnsi" w:cstheme="minorHAnsi"/>
          <w:i/>
          <w:lang w:val="en-US"/>
        </w:rPr>
      </w:pPr>
      <w:r w:rsidRPr="00DC2B04">
        <w:rPr>
          <w:rFonts w:asciiTheme="minorHAnsi" w:hAnsiTheme="minorHAnsi" w:cstheme="minorHAnsi"/>
          <w:i/>
        </w:rPr>
        <w:t>U l-bnedmin kollha jaraw is-salvazzjoni ta’ Alla!”.</w:t>
      </w:r>
    </w:p>
    <w:p w14:paraId="149A5079" w14:textId="2279230A" w:rsidR="000926D0" w:rsidRPr="00346473" w:rsidRDefault="00DC2B04" w:rsidP="00FB5AFC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  <w:r w:rsidRPr="00DC2B04">
        <w:rPr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  <w:lang w:val="mt-MT"/>
        </w:rPr>
        <w:t xml:space="preserve">Fl-oriġinal grieg għall-‘bnedmin’ hija użata l-kelma </w:t>
      </w:r>
      <w:r w:rsidRPr="00DC2B04">
        <w:rPr>
          <w:rFonts w:asciiTheme="minorHAnsi" w:hAnsiTheme="minorHAnsi" w:cstheme="minorHAnsi"/>
          <w:b w:val="0"/>
          <w:bCs w:val="0"/>
          <w:i/>
          <w:iCs/>
          <w:color w:val="000000" w:themeColor="text1"/>
          <w:shd w:val="clear" w:color="auto" w:fill="FFFFFF"/>
          <w:lang w:val="mt-MT"/>
        </w:rPr>
        <w:t>sarx</w:t>
      </w:r>
      <w:r w:rsidRPr="00DC2B04">
        <w:rPr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  <w:lang w:val="mt-MT"/>
        </w:rPr>
        <w:t>, laħam. Dan biex issir emfasi li s-salvazzjoni qed tingħata lill-bnedmin kollha fil-kundizzjoni tagħhom ta’ fraġilità, dgħufija, limitu, dnub u mewt, frott il-fatt li huma bnedmin. Lil kull min qed jesperimenta l-prekarjetà tal-kundizzjoni umana u l-istat tad-dnub li spiss jaqa’ fih, hija offerta s-salvazzjoni ta’ Alla</w:t>
      </w:r>
      <w:r w:rsidR="00FB5AFC">
        <w:rPr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  <w:lang w:val="mt-MT"/>
        </w:rPr>
        <w:t>.</w:t>
      </w:r>
    </w:p>
    <w:sectPr w:rsidR="000926D0" w:rsidRPr="00346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66"/>
    <w:rsid w:val="00026525"/>
    <w:rsid w:val="0003127B"/>
    <w:rsid w:val="0005149D"/>
    <w:rsid w:val="00054EFE"/>
    <w:rsid w:val="0009027A"/>
    <w:rsid w:val="000926D0"/>
    <w:rsid w:val="000D26E4"/>
    <w:rsid w:val="000E052A"/>
    <w:rsid w:val="00124A6C"/>
    <w:rsid w:val="00130718"/>
    <w:rsid w:val="0014371B"/>
    <w:rsid w:val="00151CF8"/>
    <w:rsid w:val="001609D5"/>
    <w:rsid w:val="001D2D35"/>
    <w:rsid w:val="001D3FA0"/>
    <w:rsid w:val="001F58A6"/>
    <w:rsid w:val="00224739"/>
    <w:rsid w:val="00254A73"/>
    <w:rsid w:val="00265956"/>
    <w:rsid w:val="002760BD"/>
    <w:rsid w:val="00291618"/>
    <w:rsid w:val="00341A06"/>
    <w:rsid w:val="003445CD"/>
    <w:rsid w:val="00346473"/>
    <w:rsid w:val="00356AFA"/>
    <w:rsid w:val="00373FAC"/>
    <w:rsid w:val="00380E98"/>
    <w:rsid w:val="00383091"/>
    <w:rsid w:val="003974BC"/>
    <w:rsid w:val="003A42FF"/>
    <w:rsid w:val="003C2170"/>
    <w:rsid w:val="003C6E32"/>
    <w:rsid w:val="003E36E0"/>
    <w:rsid w:val="00431BC6"/>
    <w:rsid w:val="00472826"/>
    <w:rsid w:val="00494567"/>
    <w:rsid w:val="004A680B"/>
    <w:rsid w:val="004D1A67"/>
    <w:rsid w:val="004E2AC6"/>
    <w:rsid w:val="004E7F43"/>
    <w:rsid w:val="004F57CB"/>
    <w:rsid w:val="004F7DC8"/>
    <w:rsid w:val="0052204E"/>
    <w:rsid w:val="005602E9"/>
    <w:rsid w:val="0058420B"/>
    <w:rsid w:val="00584619"/>
    <w:rsid w:val="00587DDF"/>
    <w:rsid w:val="00590218"/>
    <w:rsid w:val="005A6A03"/>
    <w:rsid w:val="005C074D"/>
    <w:rsid w:val="00605A18"/>
    <w:rsid w:val="006262D7"/>
    <w:rsid w:val="006A4D2B"/>
    <w:rsid w:val="006A659F"/>
    <w:rsid w:val="006E1C05"/>
    <w:rsid w:val="007235A5"/>
    <w:rsid w:val="0072617F"/>
    <w:rsid w:val="00757843"/>
    <w:rsid w:val="0077460A"/>
    <w:rsid w:val="0077564F"/>
    <w:rsid w:val="007B60FA"/>
    <w:rsid w:val="00813570"/>
    <w:rsid w:val="00834166"/>
    <w:rsid w:val="008402DA"/>
    <w:rsid w:val="00860A9F"/>
    <w:rsid w:val="008660FD"/>
    <w:rsid w:val="008728D2"/>
    <w:rsid w:val="00897C7D"/>
    <w:rsid w:val="008B72DB"/>
    <w:rsid w:val="008C54CC"/>
    <w:rsid w:val="008E2B7B"/>
    <w:rsid w:val="008F68FF"/>
    <w:rsid w:val="00910296"/>
    <w:rsid w:val="009249A9"/>
    <w:rsid w:val="00930797"/>
    <w:rsid w:val="00947ED4"/>
    <w:rsid w:val="009763A9"/>
    <w:rsid w:val="00986070"/>
    <w:rsid w:val="009861A1"/>
    <w:rsid w:val="00992581"/>
    <w:rsid w:val="009A38CC"/>
    <w:rsid w:val="009A4683"/>
    <w:rsid w:val="009B493B"/>
    <w:rsid w:val="009C2D66"/>
    <w:rsid w:val="009C5A23"/>
    <w:rsid w:val="009C7D90"/>
    <w:rsid w:val="009E6AE7"/>
    <w:rsid w:val="009F7DA1"/>
    <w:rsid w:val="00A03AFF"/>
    <w:rsid w:val="00A05429"/>
    <w:rsid w:val="00A347E8"/>
    <w:rsid w:val="00A8553F"/>
    <w:rsid w:val="00A92D58"/>
    <w:rsid w:val="00AD02A5"/>
    <w:rsid w:val="00B13CC6"/>
    <w:rsid w:val="00B27A1B"/>
    <w:rsid w:val="00B32639"/>
    <w:rsid w:val="00B37085"/>
    <w:rsid w:val="00B44404"/>
    <w:rsid w:val="00B560A1"/>
    <w:rsid w:val="00B70654"/>
    <w:rsid w:val="00B73CA5"/>
    <w:rsid w:val="00B825CA"/>
    <w:rsid w:val="00C06818"/>
    <w:rsid w:val="00C40FAF"/>
    <w:rsid w:val="00C410D3"/>
    <w:rsid w:val="00C657E1"/>
    <w:rsid w:val="00C77969"/>
    <w:rsid w:val="00CC2C59"/>
    <w:rsid w:val="00CE7031"/>
    <w:rsid w:val="00D365B3"/>
    <w:rsid w:val="00D61B53"/>
    <w:rsid w:val="00D62770"/>
    <w:rsid w:val="00D91EE4"/>
    <w:rsid w:val="00DA2C05"/>
    <w:rsid w:val="00DA2F78"/>
    <w:rsid w:val="00DA41DE"/>
    <w:rsid w:val="00DB6D5E"/>
    <w:rsid w:val="00DC0882"/>
    <w:rsid w:val="00DC2B04"/>
    <w:rsid w:val="00DE7825"/>
    <w:rsid w:val="00E200A8"/>
    <w:rsid w:val="00E260F6"/>
    <w:rsid w:val="00E61AB1"/>
    <w:rsid w:val="00E70A32"/>
    <w:rsid w:val="00E81E9F"/>
    <w:rsid w:val="00E91F88"/>
    <w:rsid w:val="00EE386A"/>
    <w:rsid w:val="00F02E76"/>
    <w:rsid w:val="00F12684"/>
    <w:rsid w:val="00F55455"/>
    <w:rsid w:val="00F56C7F"/>
    <w:rsid w:val="00F87019"/>
    <w:rsid w:val="00FB5AFC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025A"/>
  <w15:chartTrackingRefBased/>
  <w15:docId w15:val="{BD061326-06B7-49BC-9A6F-8F11B55C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b/>
        <w:bCs/>
        <w:sz w:val="24"/>
        <w:szCs w:val="24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65B3"/>
    <w:pPr>
      <w:spacing w:before="100" w:beforeAutospacing="1" w:after="100" w:afterAutospacing="1" w:line="240" w:lineRule="auto"/>
      <w:outlineLvl w:val="1"/>
    </w:pPr>
    <w:rPr>
      <w:rFonts w:eastAsia="Times New Roman" w:cs="Times New Roman"/>
      <w:sz w:val="36"/>
      <w:szCs w:val="36"/>
      <w:lang w:eastAsia="en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-span">
    <w:name w:val="verse-span"/>
    <w:basedOn w:val="DefaultParagraphFont"/>
    <w:rsid w:val="00D365B3"/>
  </w:style>
  <w:style w:type="character" w:customStyle="1" w:styleId="Heading2Char">
    <w:name w:val="Heading 2 Char"/>
    <w:basedOn w:val="DefaultParagraphFont"/>
    <w:link w:val="Heading2"/>
    <w:uiPriority w:val="9"/>
    <w:rsid w:val="00D365B3"/>
    <w:rPr>
      <w:rFonts w:eastAsia="Times New Roman" w:cs="Times New Roman"/>
      <w:sz w:val="36"/>
      <w:szCs w:val="36"/>
      <w:lang w:val="en-MT" w:eastAsia="en-MT"/>
    </w:rPr>
  </w:style>
  <w:style w:type="character" w:customStyle="1" w:styleId="l-greek">
    <w:name w:val="l-greek"/>
    <w:basedOn w:val="DefaultParagraphFont"/>
    <w:rsid w:val="00D365B3"/>
  </w:style>
  <w:style w:type="paragraph" w:customStyle="1" w:styleId="transliteration">
    <w:name w:val="transliteration"/>
    <w:basedOn w:val="Normal"/>
    <w:rsid w:val="00D365B3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transliteration1">
    <w:name w:val="transliteration1"/>
    <w:basedOn w:val="DefaultParagraphFont"/>
    <w:rsid w:val="00D365B3"/>
  </w:style>
  <w:style w:type="paragraph" w:customStyle="1" w:styleId="psp">
    <w:name w:val="psp"/>
    <w:basedOn w:val="Normal"/>
    <w:rsid w:val="00D365B3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psp1">
    <w:name w:val="psp1"/>
    <w:basedOn w:val="DefaultParagraphFont"/>
    <w:rsid w:val="00D365B3"/>
  </w:style>
  <w:style w:type="paragraph" w:customStyle="1" w:styleId="definition">
    <w:name w:val="definition"/>
    <w:basedOn w:val="Normal"/>
    <w:rsid w:val="00D365B3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derivation">
    <w:name w:val="derivation"/>
    <w:basedOn w:val="DefaultParagraphFont"/>
    <w:rsid w:val="00D365B3"/>
  </w:style>
  <w:style w:type="character" w:styleId="Hyperlink">
    <w:name w:val="Hyperlink"/>
    <w:basedOn w:val="DefaultParagraphFont"/>
    <w:uiPriority w:val="99"/>
    <w:semiHidden/>
    <w:unhideWhenUsed/>
    <w:rsid w:val="0072617F"/>
    <w:rPr>
      <w:color w:val="0000FF"/>
      <w:u w:val="single"/>
    </w:rPr>
  </w:style>
  <w:style w:type="paragraph" w:customStyle="1" w:styleId="style1">
    <w:name w:val="style1"/>
    <w:basedOn w:val="Normal"/>
    <w:rsid w:val="00C657E1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auto-style2">
    <w:name w:val="auto-style2"/>
    <w:basedOn w:val="DefaultParagraphFont"/>
    <w:rsid w:val="00C657E1"/>
  </w:style>
  <w:style w:type="character" w:customStyle="1" w:styleId="auto-style5">
    <w:name w:val="auto-style5"/>
    <w:basedOn w:val="DefaultParagraphFont"/>
    <w:rsid w:val="00C6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4796-2FF9-41CF-9918-97FEFEE5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127</cp:revision>
  <dcterms:created xsi:type="dcterms:W3CDTF">2021-10-25T06:56:00Z</dcterms:created>
  <dcterms:modified xsi:type="dcterms:W3CDTF">2021-11-29T17:54:00Z</dcterms:modified>
</cp:coreProperties>
</file>