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F9F75" w14:textId="77777777" w:rsidR="009C38C1" w:rsidRPr="003C0F8A" w:rsidRDefault="009C38C1" w:rsidP="009C38C1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0A4520ED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190CDA46" w14:textId="2C157A9F" w:rsidR="009C38C1" w:rsidRDefault="009C38C1" w:rsidP="009C38C1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Il-31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1D1E6F6C" w14:textId="77777777" w:rsidR="009C38C1" w:rsidRPr="003C0F8A" w:rsidRDefault="009C38C1" w:rsidP="009C38C1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33A53A5B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64BC90C5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310ABBFF" w14:textId="445F3018" w:rsidR="009C38C1" w:rsidRDefault="009C38C1" w:rsidP="009C38C1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 xml:space="preserve">Mk </w:t>
      </w:r>
      <w:r>
        <w:rPr>
          <w:rFonts w:ascii="Cambria" w:hAnsi="Cambria"/>
          <w:b/>
          <w:sz w:val="36"/>
          <w:szCs w:val="25"/>
          <w:lang w:val="mt-MT"/>
        </w:rPr>
        <w:t>12, 28-34</w:t>
      </w:r>
    </w:p>
    <w:p w14:paraId="03DAE4BB" w14:textId="77777777" w:rsidR="009C38C1" w:rsidRPr="00081C7B" w:rsidRDefault="009C38C1" w:rsidP="009C38C1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7F858B28" w14:textId="77777777" w:rsidR="009C38C1" w:rsidRDefault="009C38C1" w:rsidP="009C38C1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424D764D" w14:textId="3D4FD858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«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mill-kittieba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</w:t>
      </w:r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emagħhom</w:t>
      </w:r>
      <w:proofErr w:type="spellEnd"/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jitlewmu</w:t>
      </w:r>
      <w:proofErr w:type="spellEnd"/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bejniethom</w:t>
      </w:r>
      <w:proofErr w:type="spellEnd"/>
      <w:r w:rsidR="002D147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 u</w:t>
      </w: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meta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ra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kemm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weġibhom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tajjeb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resaq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staqsieh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‘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Liema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fost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kmandamenti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huwa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ewwel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?’ » (v.28)</w:t>
      </w:r>
    </w:p>
    <w:p w14:paraId="30C0366D" w14:textId="64629E66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B’differenza mill-Fariżej u l-Erodjani (12,13-14), mis-Sadduċej (12,18-23) u mill-kittieba l-oħra (3,22; 7,1), dan ir-raġel jersaq lejn Ġesù b’ċerta sinċerit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 u b’rieda tajba. Kif fis-silta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ta’ qabel Ġesù kien ta tweġiba għall-kontroversja dwar il-qawmien mill-imwiet (ara 12,24-27), 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dan ir-raġel 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xtaq jiċċara punt li fl-ambjent tal-kittieba kien spiss jiġi diskuss: liema huwa l-kmandament l-iżjed importanti jew li jiġi l-ewwel – Skont l-aħħar tradizzjoni rabbinika t-Torah kien fih 613 kmandament (248 minnhom f’forma pożittiva u 365 f’forma negattiva).</w:t>
      </w:r>
    </w:p>
    <w:p w14:paraId="58F4ADE4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3DBFE9CE" w14:textId="1BCB8CEC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Sema’... resaq.... staqsa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: 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Dawn il-verbi juru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l-ewwel passi fl-istil tad-dixxiplu. </w:t>
      </w:r>
    </w:p>
    <w:p w14:paraId="067965D9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7A44D96B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« 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wieġbu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‘L-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ewwel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huwa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dan: Isma'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Iżrael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; il-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Mulej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Alla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tagħna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Mulej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hu, 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int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għandek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tħobb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lill-Mulej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Alla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b'qalbek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b'ruħek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b'moħħok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bil-qawwa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.’ » (v.29-30)</w:t>
      </w:r>
    </w:p>
    <w:p w14:paraId="3E55E8CA" w14:textId="18D5CA90" w:rsidR="009C38C1" w:rsidRPr="009C38C1" w:rsidRDefault="002D1476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ibda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billi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jikkwota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istqarrija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tal-Fidi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msejħa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ix-</w:t>
      </w:r>
      <w:proofErr w:type="spellStart"/>
      <w:r w:rsidR="009C38C1"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Shemà</w:t>
      </w:r>
      <w:proofErr w:type="spellEnd"/>
      <w:r w:rsidR="009C38C1"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(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Imperattiv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singular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bil-L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hudi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jfisser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9C38C1"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‘Isma’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) :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jirrepeti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dik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ewwel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silta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mill-Iskrittura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tifel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Iżraelita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jitgħallem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bl-amment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B’fedelt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Dt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6,7-8, il-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hudi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devot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jirreċita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ix-</w:t>
      </w:r>
      <w:proofErr w:type="spellStart"/>
      <w:r w:rsidR="009C38C1"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Shemà</w:t>
      </w:r>
      <w:proofErr w:type="spellEnd"/>
      <w:r w:rsidR="009C38C1"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l-inqas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lgħodu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filgħaxija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;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fid-djar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hud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9C38C1"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meżeżah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kaxxa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ċkejkna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kellha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fiha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kitba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tax-</w:t>
      </w:r>
      <w:r w:rsidR="009C38C1"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Shemà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</w:t>
      </w:r>
      <w:r w:rsidR="009C38C1"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li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kienet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titwaħħal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ħoġor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tal-bieb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…  (</w:t>
      </w:r>
      <w:proofErr w:type="gram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ara</w:t>
      </w:r>
      <w:proofErr w:type="gram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Dt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6,4-9 ; 11,13-21 ;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Num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15,37-41). </w:t>
      </w:r>
    </w:p>
    <w:p w14:paraId="00D05E3C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4BBD6E6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lastRenderedPageBreak/>
        <w:t>"</w:t>
      </w:r>
      <w:proofErr w:type="gram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u</w:t>
      </w:r>
      <w:proofErr w:type="gram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int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tweġiba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personali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45300AC0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F193AD8" w14:textId="7BD15C01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"Alla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tagħna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Mulej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hu…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int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għandek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tħobb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":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Alla s-Sid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taż-żmien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tal-istorja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ħallieq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kollox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li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kollox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jinsab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taħt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providenza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«U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hawn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qiegħda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imħabba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;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mhux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aħna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ħabbejna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’l Alla,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imma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ħabbna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Hu u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bagħat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Ibnu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biex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ikun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tpattija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dnubietna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» (1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Ġw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4,10-11)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 D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an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iwassal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biex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jibda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jfittex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jgħoġbu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f’kollox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Hawnhekk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ried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ifisser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biċ-ċar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qabel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« 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Agħti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Alla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hu t’Alla » (12,17). </w:t>
      </w:r>
    </w:p>
    <w:p w14:paraId="65F35B2A" w14:textId="5FE1B851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(Fit-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Testment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Ġdid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,</w:t>
      </w:r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b’mod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sorprendenti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,</w:t>
      </w:r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ftit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huma r-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referenzi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għall-imħabba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t’All</w:t>
      </w:r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a (ara </w:t>
      </w:r>
      <w:proofErr w:type="spellStart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Lq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11,42; Rom 8,28; 1 </w:t>
      </w:r>
      <w:proofErr w:type="spellStart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Kor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2,9; 8,3; 16,22; </w:t>
      </w:r>
      <w:proofErr w:type="spellStart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Ef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6,24</w:t>
      </w:r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; 1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Ġ</w:t>
      </w:r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w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4,20-21), </w:t>
      </w:r>
      <w:proofErr w:type="spellStart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b’differenza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għal</w:t>
      </w:r>
      <w:proofErr w:type="spellEnd"/>
      <w:r w:rsidR="002D1476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li</w:t>
      </w:r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temmen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tagħraf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tobdi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lil</w:t>
      </w:r>
      <w:proofErr w:type="spellEnd"/>
      <w:r w:rsidRPr="009C38C1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 xml:space="preserve"> Alla.)</w:t>
      </w:r>
    </w:p>
    <w:p w14:paraId="43FD4D46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678A494C" w14:textId="54E46B88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esù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juża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erba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termini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meħudin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flimkien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jirreferu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għall-persuna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sħiħa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</w:t>
      </w:r>
    </w:p>
    <w:p w14:paraId="3F2AE4C4" w14:textId="0566E75F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</w:t>
      </w:r>
      <w:proofErr w:type="spellStart"/>
      <w:r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kardia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)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ċ-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ċentru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tal-għażliet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tal-bniedem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il-post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fejn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joħorġu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d-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deċiżjonijiet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azzjonijiet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7,19). </w:t>
      </w:r>
    </w:p>
    <w:p w14:paraId="6B970C37" w14:textId="77712DC9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Ir-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Ruħ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 (</w:t>
      </w:r>
      <w:proofErr w:type="spellStart"/>
      <w:r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psychē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):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tirreferi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għall-bniedem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sħiħ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ħlejqa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ħajja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1CBC9218" w14:textId="357D2CD5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Moħħ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(</w:t>
      </w:r>
      <w:proofErr w:type="spellStart"/>
      <w:r w:rsidRPr="009C38C1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dianoia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):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elma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miżjuda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biex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jagħmel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enfasi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i 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anke</w:t>
      </w:r>
      <w:proofErr w:type="spellEnd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ħsi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bijiet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r-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raġunamenti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jridu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jkunu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mbuttati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mill-imħabba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Alla.</w:t>
      </w:r>
    </w:p>
    <w:p w14:paraId="093D5CCB" w14:textId="6E843494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Qawwa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r w:rsidR="002D147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imħabba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Ala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mhijiex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sentiment ta’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mument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imma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deċiżjoni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titlob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sforz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possibbli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jista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jagħmel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121D8275" w14:textId="2D2061AD" w:rsidR="009C38C1" w:rsidRPr="009C38C1" w:rsidRDefault="007803AB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proofErr w:type="gram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proofErr w:type="gram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…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…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kollu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….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: 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juru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esklussivit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totalit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bil-kapaċitajiet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kollha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tal-umanit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Alla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jistħoqqlu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dik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imħabba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totali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gratuwita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Però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imħabba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bla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limitu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tibqa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possibbli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biss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jekk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jagħraf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jilqa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 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esperjenza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tal-imħabba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totali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esklussiva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t’Alla fil-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ħajja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Rum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5,5; 1 </w:t>
      </w:r>
      <w:proofErr w:type="spellStart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Ġw</w:t>
      </w:r>
      <w:proofErr w:type="spellEnd"/>
      <w:r w:rsidR="009C38C1"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4,11).</w:t>
      </w:r>
    </w:p>
    <w:p w14:paraId="11228A83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75288C6B" w14:textId="02FBDD4D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Ir-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relazz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joni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m’Alla hi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mqiegħda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f’mixja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: mis-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migħ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(‘Isma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Iżrael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’)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għall-għarfien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(‘Il-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Mulej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u), u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mill-għarfien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għall-għej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xien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tal-imħabba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(‘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Ħobb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lill-Mulej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’).</w:t>
      </w:r>
    </w:p>
    <w:p w14:paraId="2F9FD3FE" w14:textId="77777777" w:rsidR="009C38C1" w:rsidRPr="009C38C1" w:rsidRDefault="009C38C1" w:rsidP="009C38C1">
      <w:pPr>
        <w:spacing w:before="30" w:after="30" w:line="360" w:lineRule="auto"/>
        <w:ind w:right="28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A74E3FC" w14:textId="77777777" w:rsid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2DF34E18" w14:textId="77777777" w:rsid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47D105AE" w14:textId="77777777" w:rsid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21947923" w14:textId="6A07C9AE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lastRenderedPageBreak/>
        <w:t>« U t-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tieni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hu dan: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Ħobb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għajrek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bħalek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innifsek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. Ma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hemmx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kmandament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ieħor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akbar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dawn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 » (v.31)</w:t>
      </w:r>
    </w:p>
    <w:p w14:paraId="57F80097" w14:textId="3CACDCB2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esù jikkwota 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l-Lev 19,18b fejn hemm definizzjoni limitata ta’ min hu għajrek: dak li jiġi minnek jew li jagħmel parti mill-popl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u t’Alla. Fil-parabbola tas-Sam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aritan it-Tajjeb (ara Lq 10,29-37) Ġesù jwessa’ din id-dimensjoni għall-imħabba lejn l-istess għadu tiegħek.</w:t>
      </w:r>
    </w:p>
    <w:p w14:paraId="603B88A1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66F57847" w14:textId="4A48BD8D" w:rsidR="009C38C1" w:rsidRPr="009C38C1" w:rsidRDefault="009C38C1" w:rsidP="009C38C1">
      <w:pPr>
        <w:spacing w:line="360" w:lineRule="auto"/>
        <w:jc w:val="both"/>
        <w:rPr>
          <w:rFonts w:ascii="Cambria" w:eastAsia="Arial Unicode MS" w:hAnsi="Cambria" w:cs="Times New Roman"/>
          <w:color w:val="000000" w:themeColor="text1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akbar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dawn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 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lwaqt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jiddistingwi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bħala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-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‘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ewwel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 (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6,5) u tat-‘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tieni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(Lev 19,18b) 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b’mod espliċitu jgħaqqad flimkien dawn iż-żewġ kmandamenti b’mod inseparabbli: l-imħabba tagħna lejn Alla hija espressa u konkretizzata fl-imħabba lejn l-oħrajn (ara 1 Ġw 4,11. 20-21) – Ma’ kull tweġiba għal ‘tħobbni int’ hemm marbuta magħha l-merħla li d-dixxiplu jrid daqstant iħobb (ara Ġw 21,15-17). </w:t>
      </w:r>
    </w:p>
    <w:p w14:paraId="72143C4B" w14:textId="6D0C4CE2" w:rsidR="009C38C1" w:rsidRPr="009C38C1" w:rsidRDefault="009C38C1" w:rsidP="009C38C1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Dak tal-‘ewwel’ u dak tat-‘tieni’ huma l-fundament tal-ewwel tlieta u l-aħħar seba’ kmandamenti tad-Dekalogu rispettivament (ara Eż 20,2-11.12-17). </w:t>
      </w:r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Li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qed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jgħid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Ġesù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huwa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l-punt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ċentrali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minn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fejn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kull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kmandament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irid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ji</w:t>
      </w:r>
      <w:r w:rsidR="007803AB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nfti</w:t>
      </w:r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hem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u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jiġi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mgħix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. </w:t>
      </w:r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mt-MT"/>
        </w:rPr>
        <w:t>Hu</w:t>
      </w:r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l-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kmandament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li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jissimplifika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u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jiffaċilita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l-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osservanza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ta’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kull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kmandament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Hawn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Ġesù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qed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imur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fuq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l-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għerq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tal-kmandamenti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u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fl-istess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waqt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qed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jagħti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għajnuna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u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gwida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ta’ kif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wieħed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jagħmel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>ir-Rieda</w:t>
      </w:r>
      <w:proofErr w:type="spellEnd"/>
      <w:r w:rsidRPr="009C38C1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t’Alla.</w:t>
      </w:r>
    </w:p>
    <w:p w14:paraId="0D59F6CB" w14:textId="77777777" w:rsidR="009C38C1" w:rsidRPr="009C38C1" w:rsidRDefault="009C38C1" w:rsidP="009C38C1">
      <w:pPr>
        <w:spacing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4F5D92CD" w14:textId="679C5232" w:rsidR="009C38C1" w:rsidRPr="009C38C1" w:rsidRDefault="009C38C1" w:rsidP="009C38C1">
      <w:pPr>
        <w:spacing w:after="16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Minn ħarsa fin-negattiv: ‘ma jkollokx’, ‘la toqtolx, tisraqx, tiżnix....’ Ġesù dawwarhom f’attitudni personali u pożittiva lejn Alla u 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lejn i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l-bniedem. Hija l-libert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li Pawlu jitkellem dwarha (ara Gal 5,1). Hija l-attitudni patristika: “Ħobb u agħmel li trid”. </w:t>
      </w:r>
    </w:p>
    <w:p w14:paraId="53D5A022" w14:textId="70E594F2" w:rsidR="009C38C1" w:rsidRPr="009C38C1" w:rsidRDefault="009C38C1" w:rsidP="009C38C1">
      <w:pPr>
        <w:spacing w:after="16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L-imħabba lejn Alla tibqa’</w:t>
      </w:r>
      <w:r w:rsidR="00DD63BC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,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 xml:space="preserve"> </w:t>
      </w:r>
      <w:r w:rsidR="00DD63BC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fuq kollox,</w:t>
      </w:r>
      <w:bookmarkStart w:id="0" w:name="_GoBack"/>
      <w:bookmarkEnd w:id="0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 xml:space="preserve"> 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‘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l-ewwel’ fis-sens kwalitattiv u anke fis-sens kronoloġiku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. M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adanakollu tibqa’ dejjem inseparabbli minn dik tat-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‘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tieni’ (ara 1 Ġw 4,20-21).</w:t>
      </w:r>
    </w:p>
    <w:p w14:paraId="456D1424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«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kittieb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"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Sewwa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qiegħed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tgħid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Mgħallem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;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għandek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raġun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tgħid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hemm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u li ma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hemmx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ieħor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ħliefu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. Iva, li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tħobb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b'qalbek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b'moħħok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bil-qawwa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tħobb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għajrek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bħalek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innifsek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huwa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aqwa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kull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sagrifiċċju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tal-ħruq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mis-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sagrifiċċji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." » (v.32-33)</w:t>
      </w:r>
    </w:p>
    <w:p w14:paraId="04AA701D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kittieb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qiegħed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jiżen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it-tweġiba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jiġborha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fi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ftit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kliem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199BC382" w14:textId="4C69FBFC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huwa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aqwa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kull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sagrifiċċju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tal-ħruq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mis-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sagrifiċċji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kollha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 :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F’kuntest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fejn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Liġi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it-Tempju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Elezzjoni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Iżrael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kienu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t-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tliet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pilastru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tar-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reliġjon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hudija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(kif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jidher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mir-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reazzjoni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tal-Lhud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għat-tagħlim</w:t>
      </w:r>
      <w:proofErr w:type="spellEnd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israni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- ara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Atti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21,28),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kittieb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ikompli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lastRenderedPageBreak/>
        <w:t>jafferma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imħabba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tissupera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l-istess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sagrifiċċji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atti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tal-kult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« 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Jaqaw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Mulej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jogħġbuh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vittmi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tal-ħruq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s-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sagrifiċċji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aktar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is-smigħ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tal-kelma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tal-Mulej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? Ara l-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ubbidjenza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hi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aqwa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mis-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sagrifiċċji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» (1 Sam 15,22 ; ara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Hos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6,6 ; </w:t>
      </w:r>
      <w:proofErr w:type="spellStart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Prov</w:t>
      </w:r>
      <w:proofErr w:type="spellEnd"/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21,3) ; « 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Kull min iħobb ikun iħares il-bqija tal-Liġi.</w:t>
      </w:r>
      <w:r w:rsidRPr="009C38C1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i-FI"/>
        </w:rPr>
        <w:t> 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 xml:space="preserve">Għax il-kmandamenti: "La tagħmilx adulterju, la toqtolx, la tisraqx, la tkunx rgħib," u kull preċett ieħor, hu liema hu, kollha jinġabru f'kelma waħda: </w:t>
      </w:r>
      <w:r w:rsidR="007803A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«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Ħobb il-proxxmu tiegħek bħalek innifsek. L-imħabba ma tagħmilx deni  lill-proxxmu; mela l-imħabba hi l-milja tal-Liġi.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»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 xml:space="preserve"> (Rum 13, 8-10; ara wkoll Gal 5,14; Ġak 2,8). </w:t>
      </w:r>
    </w:p>
    <w:p w14:paraId="07A803D5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53A7BF4B" w14:textId="77777777" w:rsidR="009C38C1" w:rsidRPr="009C38C1" w:rsidRDefault="009C38C1" w:rsidP="009C38C1">
      <w:pPr>
        <w:spacing w:before="30" w:after="30" w:line="360" w:lineRule="auto"/>
        <w:ind w:right="28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« 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meta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rah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kemm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wieġeb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bil-għaqal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"M'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intix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'il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bogħod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mis-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Saltna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Alla." U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ħadd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kellu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ħila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jistaqsih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iżjed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 » (v.34)</w:t>
      </w:r>
    </w:p>
    <w:p w14:paraId="656293EF" w14:textId="7864AE3F" w:rsidR="009C38C1" w:rsidRPr="009C38C1" w:rsidRDefault="007803AB" w:rsidP="009C38C1">
      <w:pPr>
        <w:spacing w:after="160" w:line="360" w:lineRule="auto"/>
        <w:ind w:right="28"/>
        <w:jc w:val="both"/>
        <w:rPr>
          <w:rFonts w:ascii="Cambria" w:hAnsi="Cambria" w:cs="Times New Roman"/>
          <w:sz w:val="24"/>
          <w:szCs w:val="24"/>
          <w:lang w:val="fr-FR"/>
        </w:rPr>
      </w:pPr>
      <w:proofErr w:type="spellStart"/>
      <w:r>
        <w:rPr>
          <w:rFonts w:ascii="Cambria" w:hAnsi="Cambria" w:cs="Times New Roman"/>
          <w:sz w:val="24"/>
          <w:szCs w:val="24"/>
          <w:lang w:val="fr-FR"/>
        </w:rPr>
        <w:t>Ġ</w:t>
      </w:r>
      <w:r w:rsidR="009C38C1" w:rsidRPr="009C38C1">
        <w:rPr>
          <w:rFonts w:ascii="Cambria" w:hAnsi="Cambria" w:cs="Times New Roman"/>
          <w:sz w:val="24"/>
          <w:szCs w:val="24"/>
          <w:lang w:val="fr-FR"/>
        </w:rPr>
        <w:t>esù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jfaħħru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.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Hija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attitudni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tiegħu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quddiem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il-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kelma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ta’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Ġesù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li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wasslet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lil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da</w:t>
      </w:r>
      <w:r>
        <w:rPr>
          <w:rFonts w:ascii="Cambria" w:hAnsi="Cambria" w:cs="Times New Roman"/>
          <w:sz w:val="24"/>
          <w:szCs w:val="24"/>
          <w:lang w:val="fr-FR"/>
        </w:rPr>
        <w:t>n il-</w:t>
      </w:r>
      <w:proofErr w:type="spellStart"/>
      <w:r>
        <w:rPr>
          <w:rFonts w:ascii="Cambria" w:hAnsi="Cambria" w:cs="Times New Roman"/>
          <w:sz w:val="24"/>
          <w:szCs w:val="24"/>
          <w:lang w:val="fr-FR"/>
        </w:rPr>
        <w:t>kittieb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fr-FR"/>
        </w:rPr>
        <w:t>ikun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fr-FR"/>
        </w:rPr>
        <w:t>iġġudikat</w:t>
      </w:r>
      <w:proofErr w:type="spellEnd"/>
      <w:r>
        <w:rPr>
          <w:rFonts w:ascii="Cambria" w:hAnsi="Cambria" w:cs="Times New Roman"/>
          <w:sz w:val="24"/>
          <w:szCs w:val="24"/>
          <w:lang w:val="fr-FR"/>
        </w:rPr>
        <w:t> : «</w:t>
      </w:r>
      <w:r w:rsidR="00565477">
        <w:rPr>
          <w:rFonts w:ascii="Cambria" w:hAnsi="Cambria" w:cs="Times New Roman"/>
          <w:sz w:val="24"/>
          <w:szCs w:val="24"/>
          <w:lang w:val="fr-FR"/>
        </w:rPr>
        <w:t>Il-</w:t>
      </w:r>
      <w:proofErr w:type="spellStart"/>
      <w:r w:rsidR="00565477">
        <w:rPr>
          <w:rFonts w:ascii="Cambria" w:hAnsi="Cambria" w:cs="Times New Roman"/>
          <w:sz w:val="24"/>
          <w:szCs w:val="24"/>
          <w:lang w:val="fr-FR"/>
        </w:rPr>
        <w:t>kelma</w:t>
      </w:r>
      <w:proofErr w:type="spellEnd"/>
      <w:r w:rsidR="00565477">
        <w:rPr>
          <w:rFonts w:ascii="Cambria" w:hAnsi="Cambria" w:cs="Times New Roman"/>
          <w:sz w:val="24"/>
          <w:szCs w:val="24"/>
          <w:lang w:val="fr-FR"/>
        </w:rPr>
        <w:t xml:space="preserve"> li </w:t>
      </w:r>
      <w:proofErr w:type="spellStart"/>
      <w:r w:rsidR="00565477">
        <w:rPr>
          <w:rFonts w:ascii="Cambria" w:hAnsi="Cambria" w:cs="Times New Roman"/>
          <w:sz w:val="24"/>
          <w:szCs w:val="24"/>
          <w:lang w:val="fr-FR"/>
        </w:rPr>
        <w:t>jiena</w:t>
      </w:r>
      <w:proofErr w:type="spellEnd"/>
      <w:r w:rsidR="00565477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565477">
        <w:rPr>
          <w:rFonts w:ascii="Cambria" w:hAnsi="Cambria" w:cs="Times New Roman"/>
          <w:sz w:val="24"/>
          <w:szCs w:val="24"/>
          <w:lang w:val="fr-FR"/>
        </w:rPr>
        <w:t>għedt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;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tkun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hi li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tagħmel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ħaqq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minnu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> » (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Ġw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12,48) ; « Meta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semgħu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dan, il-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poplu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kollu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sa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l-istess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pubblikani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għarfu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ġustizzja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t’Alla,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billi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tgħammdu</w:t>
      </w:r>
      <w:proofErr w:type="spellEnd"/>
      <w:r w:rsidR="00565477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="009C38C1" w:rsidRPr="009C38C1">
        <w:rPr>
          <w:rFonts w:ascii="Cambria" w:hAnsi="Cambria" w:cs="Times New Roman"/>
          <w:sz w:val="24"/>
          <w:szCs w:val="24"/>
          <w:lang w:val="fr-FR"/>
        </w:rPr>
        <w:t>… Imma 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Fariżej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u 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għorrief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tal-Liġi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ġiebu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fix-xejn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il-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pjan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li Alla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kien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fassal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għalihom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,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ladarba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ma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laqgħux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il-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magħmudija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 xml:space="preserve"> ta’ </w:t>
      </w:r>
      <w:proofErr w:type="spellStart"/>
      <w:r w:rsidR="009C38C1" w:rsidRPr="009C38C1">
        <w:rPr>
          <w:rFonts w:ascii="Cambria" w:hAnsi="Cambria" w:cs="Times New Roman"/>
          <w:sz w:val="24"/>
          <w:szCs w:val="24"/>
          <w:lang w:val="fr-FR"/>
        </w:rPr>
        <w:t>Ġwanni</w:t>
      </w:r>
      <w:proofErr w:type="spellEnd"/>
      <w:r w:rsidR="009C38C1" w:rsidRPr="009C38C1">
        <w:rPr>
          <w:rFonts w:ascii="Cambria" w:hAnsi="Cambria" w:cs="Times New Roman"/>
          <w:sz w:val="24"/>
          <w:szCs w:val="24"/>
          <w:lang w:val="fr-FR"/>
        </w:rPr>
        <w:t> » (Lq12,29-30).</w:t>
      </w:r>
    </w:p>
    <w:p w14:paraId="11D2230D" w14:textId="306DC22D" w:rsidR="009C38C1" w:rsidRPr="009C38C1" w:rsidRDefault="009C38C1" w:rsidP="009C38C1">
      <w:pPr>
        <w:spacing w:after="16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"M'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intix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'il </w:t>
      </w:r>
      <w:proofErr w:type="spellStart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bogħod</w:t>
      </w:r>
      <w:proofErr w:type="spellEnd"/>
      <w:r w:rsidRPr="009C38C1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": 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Il-liġi weħidha ma twassalx għall-qalba tal-Vanġelu. Id-dixxiplu</w:t>
      </w:r>
      <w:r w:rsidR="00565477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,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meta jħobb lil għajru bħalu nnifsu</w:t>
      </w:r>
      <w:r w:rsidR="00565477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, ikun għadu mal-L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iġi. Li tħobb li</w:t>
      </w:r>
      <w:r w:rsidR="00565477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</w:t>
      </w:r>
      <w:r w:rsidRPr="009C38C1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għajrek bħalek innifsek ifisser li l-miżura tal-imħabba hija ‘int’, li int tixtieq it-tajjeb fl-ieħor daqskemm tixtiequ għalik innifsek. Ġesù jitlob xi ħaġa iżjed minn hekk: li l-imħabba trid tkun fuq il-mudell “kif ħabbejtkom jien” (Ġw 13,34; ara Ġw 15,13). </w:t>
      </w:r>
    </w:p>
    <w:p w14:paraId="1AB7E3F8" w14:textId="77777777" w:rsidR="00E20C86" w:rsidRDefault="00231F00" w:rsidP="009C38C1">
      <w:pPr>
        <w:spacing w:line="360" w:lineRule="auto"/>
        <w:ind w:left="150" w:right="375"/>
        <w:jc w:val="both"/>
      </w:pPr>
    </w:p>
    <w:sectPr w:rsidR="00E20C86" w:rsidSect="00273F8B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C9EDB" w14:textId="77777777" w:rsidR="00231F00" w:rsidRDefault="00231F00" w:rsidP="009C38C1">
      <w:r>
        <w:separator/>
      </w:r>
    </w:p>
  </w:endnote>
  <w:endnote w:type="continuationSeparator" w:id="0">
    <w:p w14:paraId="48B3CA42" w14:textId="77777777" w:rsidR="00231F00" w:rsidRDefault="00231F00" w:rsidP="009C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886B7" w14:textId="77777777" w:rsidR="00231F00" w:rsidRDefault="00231F00" w:rsidP="009C38C1">
      <w:r>
        <w:separator/>
      </w:r>
    </w:p>
  </w:footnote>
  <w:footnote w:type="continuationSeparator" w:id="0">
    <w:p w14:paraId="3A13FFE8" w14:textId="77777777" w:rsidR="00231F00" w:rsidRDefault="00231F00" w:rsidP="009C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9773028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778921D" w14:textId="2F296A4E" w:rsidR="009C38C1" w:rsidRDefault="009C38C1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260B36" w14:textId="77777777" w:rsidR="009C38C1" w:rsidRDefault="009C38C1" w:rsidP="009C38C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5556333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68AEC8B" w14:textId="0B27DB24" w:rsidR="009C38C1" w:rsidRDefault="009C38C1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63BC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01E82F0" w14:textId="77777777" w:rsidR="009C38C1" w:rsidRDefault="009C38C1" w:rsidP="009C38C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C1"/>
    <w:rsid w:val="00231F00"/>
    <w:rsid w:val="00273F8B"/>
    <w:rsid w:val="002D1476"/>
    <w:rsid w:val="00544885"/>
    <w:rsid w:val="00565477"/>
    <w:rsid w:val="006E380C"/>
    <w:rsid w:val="00711F29"/>
    <w:rsid w:val="007803AB"/>
    <w:rsid w:val="00802628"/>
    <w:rsid w:val="009C38C1"/>
    <w:rsid w:val="009C70DB"/>
    <w:rsid w:val="00B76708"/>
    <w:rsid w:val="00BE2BC7"/>
    <w:rsid w:val="00C02D48"/>
    <w:rsid w:val="00CF5302"/>
    <w:rsid w:val="00DD63BC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50A1"/>
  <w14:defaultImageDpi w14:val="32767"/>
  <w15:chartTrackingRefBased/>
  <w15:docId w15:val="{4AFD9C1D-B83C-E941-BC39-ECDEE19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C1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9C3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C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C1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C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6</cp:revision>
  <dcterms:created xsi:type="dcterms:W3CDTF">2018-11-06T12:17:00Z</dcterms:created>
  <dcterms:modified xsi:type="dcterms:W3CDTF">2018-11-06T14:54:00Z</dcterms:modified>
</cp:coreProperties>
</file>