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E5" w:rsidRDefault="00237BE5" w:rsidP="00237BE5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  <w:lang w:val="mt-MT"/>
        </w:rPr>
      </w:pPr>
      <w:r>
        <w:rPr>
          <w:rFonts w:ascii="Times New Roman" w:hAnsi="Times New Roman" w:cs="Times New Roman"/>
          <w:b/>
          <w:smallCaps/>
          <w:sz w:val="48"/>
          <w:szCs w:val="20"/>
          <w:lang w:val="mt-MT"/>
        </w:rPr>
        <w:t>Lectio Divina</w:t>
      </w:r>
    </w:p>
    <w:p w:rsidR="009A44BE" w:rsidRPr="00237BE5" w:rsidRDefault="009A44BE" w:rsidP="00237BE5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  <w:lang w:val="mt-MT"/>
        </w:rPr>
      </w:pPr>
      <w:r w:rsidRPr="00237BE5">
        <w:rPr>
          <w:rFonts w:ascii="Times New Roman" w:hAnsi="Times New Roman" w:cs="Times New Roman"/>
          <w:b/>
          <w:smallCaps/>
          <w:sz w:val="48"/>
          <w:szCs w:val="20"/>
          <w:lang w:val="mt-MT"/>
        </w:rPr>
        <w:t>III Ħadd tal-Għid (Sena A)</w:t>
      </w:r>
    </w:p>
    <w:p w:rsidR="009A44BE" w:rsidRPr="00B5619B" w:rsidRDefault="009A44BE" w:rsidP="00B561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B5619B">
        <w:rPr>
          <w:rFonts w:ascii="Times New Roman" w:hAnsi="Times New Roman" w:cs="Times New Roman"/>
          <w:b/>
          <w:sz w:val="24"/>
          <w:szCs w:val="24"/>
          <w:lang w:val="mt-MT"/>
        </w:rPr>
        <w:t>Lq 24:13-35</w:t>
      </w:r>
    </w:p>
    <w:p w:rsidR="009A44BE" w:rsidRPr="009A44BE" w:rsidRDefault="009A44BE" w:rsidP="009A44BE">
      <w:pPr>
        <w:jc w:val="center"/>
        <w:rPr>
          <w:rFonts w:cstheme="minorHAnsi"/>
          <w:b/>
          <w:lang w:val="mt-MT"/>
        </w:rPr>
      </w:pPr>
    </w:p>
    <w:p w:rsidR="003A4114" w:rsidRPr="00B5619B" w:rsidRDefault="003A4114" w:rsidP="00B5619B">
      <w:pPr>
        <w:spacing w:after="0" w:line="360" w:lineRule="auto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</w:pPr>
      <w:r w:rsidRPr="00B5619B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t>Dak in-nhar stess [fl-ewwel jum tal-ġimgħa], ġara li tnejn minnhom [mid-dixxipli] kienu sejrin lejn raħal jismu Għemmaws, xi sittin stadju bogħod minn Ġerusalemm, jitħaddtu bejniethom fuq kull ma kien ġara.</w:t>
      </w:r>
    </w:p>
    <w:p w:rsidR="00794D8A" w:rsidRPr="00B5619B" w:rsidRDefault="003A4114" w:rsidP="00B5619B">
      <w:pPr>
        <w:spacing w:after="0"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Iż-żewġ persuni li jagħtu daharhom lil Ġerusalemm, f’direzzjoni opposta għal dik li kien ħa l-Imgħallem tagħhom (cfr Lq 9:51), jagħmlu parti mid-«dixxipli» li </w:t>
      </w:r>
      <w:r w:rsidR="0087322F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kien daqu ħafna sorpriż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i</w:t>
      </w:r>
      <w:r w:rsidR="0087322F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fil-mixja tagħhom wara Ġesù ta’ Nazaret (kienu jieklu u jixorbu mal-pubblikani u l-midinbin – Lq 5:30; kienu differenti mid-dixxipli ta’ Ġwanni l-Għammiedi li kienu jsumu u jitolbu – Lq 5:33; saħansitra jaqtgħu s-sbul fil-jum tas-Sibt – Lq 6:1; kienu semgħu l-hena paradossali tal-fqir, ta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’ min hu bil-ġuħ, ta’ min jibki,</w:t>
      </w:r>
      <w:r w:rsidR="0087322F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ta’ min ikun ippersegwitat minħabba Bin il-bniedem – Lq 6:20-23; raw il-qawmien mill-mewt tat-tifel tal-armla ta’ Najn – Lq 7:11; kienu xhieda ta’ meta Ġesù tema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’</w:t>
      </w:r>
      <w:r w:rsidR="0087322F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ħamest elef raġel b’ħames ħobżiet u żewġ ħutiet – Lq 9:10-17; forsi kienu fost dawk is-72 dixxiplu li Ġesù kien bagħathom jevanġelizzaw – Lq 10:1-12.17-24; k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ienu semgħu ħafna mill-parabboli</w:t>
      </w:r>
      <w:r w:rsidR="0087322F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u t-twissijiet ta’ Ġesù, fost l-oħrajn li</w:t>
      </w:r>
      <w:r w:rsidR="00A90244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Bin il-bniedem kellu jkun mogħti f’idejn il-bnedmin u li</w:t>
      </w:r>
      <w:r w:rsidR="0087322F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biex wieħed jidħol fis-Saltna ta’ Alla jrid isir bħal tifel ċkejken – Lq</w:t>
      </w:r>
      <w:r w:rsidR="00A90244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9:44-45;</w:t>
      </w:r>
      <w:r w:rsidR="0087322F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18:17; kienu fost dawk li għajtu bil-ferħ u faħħru lis-«Sultan li ġej f’isem il-Mulej» dieħel fil-Belt Imqaddsa – Lq 19:38-39). </w:t>
      </w:r>
      <w:r w:rsidR="00A90244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Minkejja dawn l-esperjenzi kollha qrib Ġesù, xħin jersaq lejhom Hu nnifsu «kellhom xi jżommhom u ma setgħux jagħrfuh». Minkejja li l-mixja wara l-Imgħallem kienet dewqitilhom bosta “sorpriżi” u kissret diversi skemi ta’ kif il-bniedem iħares lejn Alla, lejn il-Liġi, lejn il-proxxmu, lejh innifsu, xorta ma jistgħux jegħlbu l-iskandlu tas-Salib (c</w:t>
      </w:r>
      <w:bookmarkStart w:id="0" w:name="_GoBack"/>
      <w:bookmarkEnd w:id="0"/>
      <w:r w:rsidR="00A90244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fr 1Kor 1:23). Filwaqt li Lq jgħidilna li dawn it-tnejn kienu sejrin lejn Għemmaws, Mk jitkellem minn «tnejn minnhom huma u sejrin bil-mixi lejn ir-raba’» (Mk 16:12)</w:t>
      </w:r>
      <w:r w:rsidR="00794D8A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, b’direzzjoni opposta għal «Xmun minn Ċireni, missier Xandru u Rufu, ġej lura mir-raba’» li «ġagħluh jerfagħlu s-salib» (Mk 15:21). Fid-dawl tal-parabbola tal-pranzu (Lq 14:15-24), ir-raba’ tista’ tidher dak il-post tal-mistieden imbiegħed mill-festa tat-tieġ – il-bniedem jista’ jagħżel li jibqa’ fejn hu biex jara l-għalqa tiegħu, jipprova l-ħames żwieġ barrin, jew inkella jista’ jilqa’ l-istedina u jmur għall-festa. Imma li tilqa’ l-istedina jfisser tilqa’ l-verità ta’ Kristu, Imsallab u Irxoxt.</w:t>
      </w:r>
    </w:p>
    <w:p w:rsidR="00794D8A" w:rsidRPr="00B5619B" w:rsidRDefault="00794D8A" w:rsidP="00B5619B">
      <w:pPr>
        <w:spacing w:after="0" w:line="360" w:lineRule="auto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</w:pPr>
      <w:r w:rsidRPr="00B5619B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lastRenderedPageBreak/>
        <w:t>Huma u jitħaddtu u jitkixxfu bejniethom, Ġesù nnifsu resaq lejhom u baqa’ miexi magħhom... U hu qalilhom: «X’intom tgħidu bejnietkom intom u miexja?» U huma waqfu, b’ħarsa ta’ niket fuq wiċċhom.</w:t>
      </w:r>
    </w:p>
    <w:p w:rsidR="00DE695B" w:rsidRDefault="00794D8A" w:rsidP="00B5619B">
      <w:pPr>
        <w:spacing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Id-dixxipli jitkellmu, u dan jagħmluh huma u miexja: il-«kelma» u t-«triq» huma temi importanti fl-opra tal-evanġelista Lq. Infatti matul il-vjaġġ il-kbir (Lq 9:51-19:27) Ġesù hu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w</w:t>
      </w: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a u miexi jgħallem u jxandar il-Bxara t-Tajba. </w:t>
      </w:r>
      <w:r w:rsidR="00075CC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Ġesù li kien jagħraf il-ħsibijiet mistura tal-bniedem (cfr Lq 5:22), xorta jistieden lid-dixxipli sabiex jirra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kko</w:t>
      </w:r>
      <w:r w:rsidR="00075CC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ntaw dak li qegħdin «jitħaddtu u jitkixxfu bejniethom». Id-djalogu tagħhom huwa wieħed li ma jagħtihomx ħlief «niket» li hija frott tad-delużjoni li jagħtihom Ġesù ta’ Nazaret li kienu jittamaw «li hu kellu jifdi lil Israel». Huma t-tnejn jafu l-fatti, dak li ġara, imma ma jistgħux jinterpretawhom – jixbhu xi ftit lil dawk li «għandhom għajnejn u ma jarawx» (S 115:5). 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Infatti, h</w:t>
      </w:r>
      <w:r w:rsidR="00075CC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uwa minnu li «l-ebda profezija tal-Iskrittura ma għandu ħadd ifissirha minn rasu» (2Pt 1:20) u r-riskju jkun li d-dixxiplu minflok iħabbar il-Verità jsir bħal</w:t>
      </w:r>
      <w:r w:rsidR="00492E9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l-profeti li jitkellem minnhom Ġeremija: «Riħ huma l-profeti, kelma fihom m’hemmx.» (Ġer 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5:13). Ġesù </w:t>
      </w:r>
      <w:r w:rsidR="00492E9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li jħobb lil dawk kollha li tah il-Missier u li għalihom ta ħajtu (cfr Ġw 17:6-19), b’fedeltà lejn il-wegħda tiegħu li «fejn tnejn jew tlieta jkunu miġbura f’ismi hemm inkun jien f’nofshom» (Mk 18:20), ma jħallix fin-niket lil dawk li jinsabu miexja fid-dlam 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tar-reżistenza biex jemmnu</w:t>
      </w:r>
      <w:r w:rsidR="00492E9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l-</w:t>
      </w:r>
      <w:r w:rsidR="00492E9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«ħaġa tal-għaġeb» (S 118:23) tal-qawmien mill-imwiet li 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xi anġli kienu </w:t>
      </w:r>
      <w:r w:rsidR="00492E9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ħabbru lin-nisa li kienu ma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d-</w:t>
      </w:r>
      <w:r w:rsidR="00492E9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dixixpli. Il-moħħ li jrid jirranġuna, jikkontrolla – jixbah l-atteġġjament ta’ Pietru fil-ħasil tar-riġlejn (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cfr </w:t>
      </w:r>
      <w:r w:rsidR="00492E9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Ġw 13:6-7) – irid jinfetaħ għal dak il-“ġdid” li jwettaq il-Mulej bis-saħħa tiegħu (cfr Apok 21:5). Għalhekk id-djalogu “magħluq” taż-żewġ dixxipli jrid jinfetaħ għall-«aħjar sehem» (Lq 10:42) li</w:t>
      </w:r>
      <w:r w:rsidR="00DE695B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tieqaf u int u tisma’ lilek innifsek tinfetaħ biex</w:t>
      </w:r>
      <w:r w:rsidR="00492E9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</w:t>
      </w:r>
      <w:r w:rsidR="00DE695B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tisma’ l-Kelma u tilqagħha «b’qalb tajba u sinċiera, jgħożżuha, u jagħmlu l-frott billi jżommu sħiħ» (Lq 8:15). Tabilħaqq, il-Mulej li jidher bħala «l-barrani f’Ġerusalemm» [gr. πα</w:t>
      </w:r>
      <w:proofErr w:type="spellStart"/>
      <w:r w:rsidR="00DE695B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ροικέω</w:t>
      </w:r>
      <w:proofErr w:type="spellEnd"/>
      <w:r w:rsidR="00DE695B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, tr. «paroikéō»] huwa 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fil-fatt </w:t>
      </w:r>
      <w:r w:rsidR="00DE695B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dak li kapaċi jfiehem 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il-ġrajjiet li seħħew</w:t>
      </w:r>
      <w:r w:rsidR="00DE695B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f’Ġerusalemm – min hu ċert li jaf ikun fir-riksju li jsir «barrani» għalih innifsu, għat-twemmin li jistqarr, għall-identità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/missjoni</w:t>
      </w:r>
      <w:r w:rsidR="00DE695B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tiegħu ta’ dixxiplu.</w:t>
      </w:r>
    </w:p>
    <w:p w:rsidR="00B5619B" w:rsidRPr="00B5619B" w:rsidRDefault="00B5619B" w:rsidP="00B5619B">
      <w:pPr>
        <w:spacing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</w:p>
    <w:p w:rsidR="00680757" w:rsidRPr="00B5619B" w:rsidRDefault="00680757" w:rsidP="00B5619B">
      <w:pPr>
        <w:spacing w:after="0" w:line="360" w:lineRule="auto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</w:pPr>
      <w:r w:rsidRPr="00B5619B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t>Qalilhom Ġesù: «Kemm intom boloh u tqal biex temmnu kulma qalu l-profeti! U ma kellux il-Messija jbati dan kollu u hekk jidħol fil-glorja tiegħu?» U beda minn Mosè u l-profeti kollha jfissrilhom kulma kien hemm fl-Iskrittura fuqu.</w:t>
      </w:r>
    </w:p>
    <w:p w:rsidR="00B73045" w:rsidRDefault="00680757" w:rsidP="00B5619B">
      <w:pPr>
        <w:spacing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Id-diffikultà tad-dixxipli tinsab fil-qalb – qalbhom hija tqila/mudlama biex tifhem [gr. «</w:t>
      </w: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fldChar w:fldCharType="begin"/>
      </w: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instrText xml:space="preserve"> HYPERLINK "http://www.laparola.net/greco/parola.php?p=βραδύς" \o "βραδύς adjective: vocative plural masculine" </w:instrText>
      </w: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fldChar w:fldCharType="separate"/>
      </w: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βραδεῖς</w:t>
      </w: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fldChar w:fldCharType="end"/>
      </w: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</w:t>
      </w:r>
      <w:hyperlink r:id="rId8" w:tooltip="ὁ article: dative singular feminine" w:history="1">
        <w:r w:rsidRPr="00B5619B">
          <w:rPr>
            <w:rFonts w:ascii="Times New Roman" w:eastAsia="Garamond" w:hAnsi="Times New Roman" w:cs="Times New Roman"/>
            <w:sz w:val="24"/>
            <w:szCs w:val="24"/>
            <w:lang w:val="it-IT"/>
          </w:rPr>
          <w:t>τῇ</w:t>
        </w:r>
      </w:hyperlink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</w:t>
      </w:r>
      <w:hyperlink r:id="rId9" w:tooltip="καρδία noun: dative singular feminine" w:history="1">
        <w:r w:rsidRPr="00B5619B">
          <w:rPr>
            <w:rFonts w:ascii="Times New Roman" w:eastAsia="Garamond" w:hAnsi="Times New Roman" w:cs="Times New Roman"/>
            <w:sz w:val="24"/>
            <w:szCs w:val="24"/>
            <w:lang w:val="it-IT"/>
          </w:rPr>
          <w:t>καρδίᾳ</w:t>
        </w:r>
      </w:hyperlink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», tr. bradeis te kardia]. Iżda «qrib il-Mulej lejn dawk b’qalbhom maqsuma, jgħin lil dawk b’ruħhom mifnija» (S 34:19). Il-qalb tfieq permezz tad-duwa tal-Kelma ta’ Alla li tagħha </w:t>
      </w: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lastRenderedPageBreak/>
        <w:t>Kristu Ġesù huwa l-eseġeta per eċċellenza</w:t>
      </w:r>
      <w:r w:rsidR="006C22E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– anzi Hu nnifsu l-Kelma!</w:t>
      </w:r>
      <w:r w:rsidR="002927BB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Il-qalb trid tinfetaħ għall-pjan/ħsieb ta’ Alla li kien meħtieġ [gr. </w:t>
      </w:r>
      <w:proofErr w:type="spellStart"/>
      <w:proofErr w:type="gramStart"/>
      <w:r w:rsidR="002927BB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δεῖ</w:t>
      </w:r>
      <w:proofErr w:type="spellEnd"/>
      <w:r w:rsidR="002927BB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 tr.deî</w:t>
      </w:r>
      <w:proofErr w:type="gramEnd"/>
      <w:r w:rsidR="002927BB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] li l-«Messija» jmut għall-maħfra tad-dnubiet (cfr Atti </w:t>
      </w:r>
      <w:r w:rsidR="00B73045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10:43; </w:t>
      </w:r>
      <w:r w:rsidR="002927BB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17:3; 1Kor 15:3-4; Lhud 9:22-23).</w:t>
      </w:r>
      <w:r w:rsidR="00B73045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Huwa fid-dawl tat-tbatija, passjoni, mewt u qawmien tal-Imgħallem li d-dixxiplu jagħraf l-identità tiegħu bħala dak li jxandar lil «Kristu Msallab»: “Meta nimxu bla Salib, meta nibnu bla Salib, u meta nistqarru lil Kristu bla Salib, m’aħniex dixxipli tal-Mulej: aħna tad-dinja, aħna Isqfijiet, aħna Qassisin, aħna Kardinali, aħna Papiet, imma mhux dixxipli tal-Mulej.” (Papa Franġisku, Omelija 14 Mar 2013).</w:t>
      </w:r>
    </w:p>
    <w:p w:rsidR="00B5619B" w:rsidRPr="00B5619B" w:rsidRDefault="00B5619B" w:rsidP="00B5619B">
      <w:pPr>
        <w:spacing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</w:p>
    <w:p w:rsidR="00B73045" w:rsidRPr="00B5619B" w:rsidRDefault="00B73045" w:rsidP="00B5619B">
      <w:pPr>
        <w:spacing w:after="0" w:line="360" w:lineRule="auto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</w:pPr>
      <w:r w:rsidRPr="00B5619B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t>Meta qorbu lejn ir-raħal fejn kienu sejrin hu għamel tabirruħu li kien sa jibqa’ sejjer aktar ’il bogħod. Iżda huma ġegħluh jibqa’ magħhom u qalulu: «Ibqa’ magħna, għax issa sar ħafna ħin u l-jum ġa wasal biex jintemm.» Imbagħad daħal biex joqgħod magħhom.</w:t>
      </w:r>
    </w:p>
    <w:p w:rsidR="00B5619B" w:rsidRDefault="00CE4A60" w:rsidP="00B5619B">
      <w:pPr>
        <w:spacing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Ġesù ma jimponix ruħu – hu mhuwiex il-«ħalliel jew brigant» (cfr Ġw 10:1; Lq 11:24-26) li jidħol fil-qalb bil-moħbi imma huwa l-«mistieden» li jidħol fil-qalb li tixtiequ (cfr Apok 3:20). L-atteġġjament tad-dixxiplu għandu jkun li kontinwament jitlob bil-ħrara lil Mulej sabiex jiġi u jibqa’ miegħU (cfr Ġen 19:2; 32:26; 42:7; Ġw 4:40). </w:t>
      </w:r>
    </w:p>
    <w:p w:rsidR="00B5619B" w:rsidRPr="00B5619B" w:rsidRDefault="00B5619B" w:rsidP="00B5619B">
      <w:pPr>
        <w:spacing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</w:p>
    <w:p w:rsidR="00B5619B" w:rsidRPr="00B5619B" w:rsidRDefault="00CE4A60" w:rsidP="00B5619B">
      <w:pPr>
        <w:spacing w:after="0" w:line="360" w:lineRule="auto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</w:pPr>
      <w:r w:rsidRPr="00B5619B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t>U waqt li kien fuq il-mejda magħhom, qabad il-ħobż, qal il-barka, qasmu u tahulhom. Imbagħad infetħulhom għajnejhom u għarfuh, iżda hu għab minn quddiemhom.</w:t>
      </w:r>
    </w:p>
    <w:p w:rsidR="003852F8" w:rsidRDefault="00B30C29" w:rsidP="00B5619B">
      <w:pPr>
        <w:spacing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Id-dixxipli jagħrfu lil Ġesù li «fuq il-medja» jidher familjari għalihom bħala dak li jingħata fil-qsim tal-ħobż (cfr Lq 9:16; 22:19; Mt 14:19; 15:36; 26:26; Mk 6:41; 8:6; 14:22</w:t>
      </w:r>
      <w:r w:rsidR="00B51372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; Atti 27:35</w:t>
      </w: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). Huwa dak Ġesù li jingħata lil kulħadd u li jgħallem lid-dixxipli jitolbu ta’ kuljum lil Missier il-ħobż (cfr Lq 11:3). Fil-ħobż maqsum u mogħti d-dixxipli mhux biss jagħrfu lil Ġesù imma wkoll jilqgħu </w:t>
      </w:r>
      <w:r w:rsidR="00B51372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l-preżenza sagramentali tiegħu fil-komunità ta’ dawk li jemmnu fiH. Infatti hawn Lq juża «tahulhom» fl-imperfett attiv li jfisser azzjoni li tkompli fiż-żmien – il-Mulej Ġesù jibqa’ jidħol u joqgħod fuq il-mejda mad-dixxipli ta’ kull żmien. “Meta l-laqgħa [ma’ Kristu] ssir sħiħa, fid-dawl tal-Kelma tidħol dik li toħroġ mill-«Ħobż tal-Ħajja», li permezz tagħha Kristu jwettaq b’mod sħiħ il-wegħda tiegħu li «jibqa’ magħna għal dejjem sal-aħħar taż-żmien» (cfr Mt 28:20).” (Ġwanni Pawlu II, Ittra Appostolika Mane nobiscum Domine, 7 Ott 2004, 2). Id-dixxiplu jagħraf lil Ġesù meta jilqa’ l-għotja Tiegħu nnifsu lilu (lid-dixxiplu) fil-Kelma msejsa fuq ix-xhieda tal-Appostli tal-qawmien mill-imwiet (cfr Atti 10:42) u fis-Sagramenti, </w:t>
      </w:r>
      <w:r w:rsidR="008B367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ibda mill-Ewkaristija li hija “l-għajn u l-quċċata tal-ħajja Nisranija kollha” (Lumen gentium 11). Minbarra dan, il-qsim tal-ħobż isir il-mod kif id-dixxiplu jgħix il-fidi tiegħu f’Ġesù: “Il-</w:t>
      </w:r>
      <w:r w:rsidR="008B3671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lastRenderedPageBreak/>
        <w:t>mod kif aħna naħsbu jaqbel mal-Ewkaristija, u min-naħa tagħha l-Ewkaristija taqbel mal-mod kif aħna naħsbu.” (S. Irinew ta’ Lyon, Ad. Haereses 4,18,5)</w:t>
      </w:r>
    </w:p>
    <w:p w:rsidR="00B5619B" w:rsidRPr="00B5619B" w:rsidRDefault="00B5619B" w:rsidP="00B5619B">
      <w:pPr>
        <w:spacing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</w:p>
    <w:p w:rsidR="00B5619B" w:rsidRPr="00B5619B" w:rsidRDefault="003852F8" w:rsidP="00B5619B">
      <w:pPr>
        <w:spacing w:after="0" w:line="360" w:lineRule="auto"/>
        <w:jc w:val="both"/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</w:pPr>
      <w:r w:rsidRPr="00B5619B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t>U wieħed lill-ieħor bdew jgħidu: «Ma kinitx imkebbsa qalbna ġewwa fina huwa u jkellimna fit-triq u jfissrilna l-Iskrittura?»</w:t>
      </w:r>
    </w:p>
    <w:p w:rsidR="00B5619B" w:rsidRDefault="003852F8" w:rsidP="00B5619B">
      <w:pPr>
        <w:spacing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Jekk «il-ħlewwa ta’ ħabib hena tar-ruħ» (Prov 27:9), kemm aktar Kristu, il-ħabib-Akkampanjatur (it. Viandante) u Messija veru ta’ kull bniedem – il-Kelma li ssir Ħobż li jittiekel –  jimla l-qalb imnikkta bil-ferħ: «jien sibt kliemek, u kiltu; u kelmtek saritli l-ferħ u l-hena ta’ qalbi» (Ġer 15:16); «Tħeġġet qalbi ġewwa fija; għall-ħsieb biss, nar tkebbes fija. Nħall imbagħad ilsieni...» (S 39:4).</w:t>
      </w:r>
      <w:r w:rsidR="00EE2F3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Frott il-laqgħa tagħhom mal-Irxoxt, kliemhom m’għadux t</w:t>
      </w:r>
      <w:r w:rsidR="002A0066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he</w:t>
      </w:r>
      <w:r w:rsidR="00EE2F3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wdin fuq dak li ġara imma jsir aħbar li qalb imkebbsa (u mhux aktar tqila u mudlama) ma tiflaħx ma xxandarhiex malajr «dak il-ħin stess qamu u reġgħu lura Ġerusalemm» (cfr S 19:5-6). Huwa Ġesù Rxoxt li jagħti lid-dixxiplu mnikket, konfuż, u miexi ’l bogħod, l-hena, id-dawl u d-direzzjoni tiegħu. Id-dixxiplu jagħmel din l-esperjenza kemm-il darba jħalli lill-Irxoxt “jiftaħlu” [gr. </w:t>
      </w:r>
      <w:proofErr w:type="spellStart"/>
      <w:r w:rsidR="00EE2F3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δι</w:t>
      </w:r>
      <w:proofErr w:type="spellEnd"/>
      <w:r w:rsidR="00EE2F3C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ανοίγω tr. dianoígō] l-Iskrittura – huwa jiftaħ billi jċarrat il-velu li ma jħalliniex nifhmu l-Iskrittura (cfr Lq 23:45; 2Kor 3:12-18; Lhud 6:19-20)</w:t>
      </w:r>
      <w:r w:rsidR="00B923E3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; billi jitfaħ </w:t>
      </w:r>
      <w:r w:rsidR="002A0066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il-ġuf tan-nixxi</w:t>
      </w:r>
      <w:r w:rsidR="00B923E3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għat tas-Salvazzjoni bħala l-ewwel fost dawk li raqdu u ħarġu rebbieħa fuq il-mewt (cfr 1Kor 15:20); billi jiftaħ l-għajnejn u l-widnejn sabiex il-bniedem jara u jisma’ (cfr Lq 10:24); u jkeċċi l-ħsibijiet mudlama u jiftaħ il-qalb tal-bniedem għall-għatx veru, li huwa Alla (cfr S 42:3). Hekk il-ħajja tad-dixxiplu ssir missjoni li twassal dik l-Aħbar li kapaċi tagħmel id-differenza fil-ħajja tal-bnedmin u tad-dinja, dik li ż-żewġ dixxipli jisimgħu mingħand il-Ħdax: «Il-Mulej qam tassew, u deher lil Xmun», u li huma t-tnejn ji</w:t>
      </w:r>
      <w:r w:rsidR="00B5619B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lqgħu bix-xhieda ta’ ħajjithom: </w:t>
      </w:r>
      <w:r w:rsidR="00B923E3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U huma wkoll tarrfulhom x’kien ġralhom fit-triq, u kif kienu għarfuh fil-qsim tal-ħobż.</w:t>
      </w:r>
    </w:p>
    <w:p w:rsidR="00B5619B" w:rsidRPr="00B5619B" w:rsidRDefault="00B5619B" w:rsidP="00B5619B">
      <w:pPr>
        <w:spacing w:line="360" w:lineRule="auto"/>
        <w:jc w:val="both"/>
        <w:rPr>
          <w:rStyle w:val="translit"/>
          <w:rFonts w:ascii="Times New Roman" w:eastAsia="Garamond" w:hAnsi="Times New Roman" w:cs="Times New Roman"/>
          <w:color w:val="auto"/>
          <w:sz w:val="24"/>
          <w:szCs w:val="24"/>
          <w:lang w:val="it-IT"/>
        </w:rPr>
      </w:pPr>
    </w:p>
    <w:p w:rsidR="00B923E3" w:rsidRPr="00B5619B" w:rsidRDefault="00B923E3" w:rsidP="00B5619B">
      <w:pPr>
        <w:spacing w:line="360" w:lineRule="auto"/>
        <w:jc w:val="both"/>
        <w:rPr>
          <w:rStyle w:val="translit"/>
          <w:rFonts w:ascii="Times New Roman" w:hAnsi="Times New Roman" w:cs="Times New Roman"/>
          <w:b/>
          <w:color w:val="000000" w:themeColor="text1"/>
          <w:sz w:val="22"/>
          <w:szCs w:val="22"/>
          <w:lang w:val="mt-MT"/>
        </w:rPr>
      </w:pPr>
      <w:r w:rsidRPr="00B5619B">
        <w:rPr>
          <w:rStyle w:val="translit"/>
          <w:rFonts w:ascii="Times New Roman" w:hAnsi="Times New Roman" w:cs="Times New Roman"/>
          <w:b/>
          <w:color w:val="000000" w:themeColor="text1"/>
          <w:sz w:val="22"/>
          <w:szCs w:val="22"/>
          <w:lang w:val="mt-MT"/>
        </w:rPr>
        <w:t>Għar-riflessjoni</w:t>
      </w:r>
    </w:p>
    <w:p w:rsidR="00EE2F3C" w:rsidRPr="00B5619B" w:rsidRDefault="00B923E3" w:rsidP="00B5619B">
      <w:pPr>
        <w:spacing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  <w:r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Xi jfisser li l-Mulej jiftħilhom l-Iskrittura? Huwa li tqiegħed uħud mill-ġrajjiet tas-salvazzjoni – li d-dixixpli ħadu sehem fihom mingħajr ma fehmu s-sens tagħhom – fil-kwadru ġenerali tal-istorja tas-salvazzjoni li tiċċara s-sens ta’ dawn il-ġrajjiet [...] Fl-Iskrittura, għalhekk, insibu l-mod</w:t>
      </w:r>
      <w:r w:rsidR="00F61D74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li nisiltu diversi ħjut ta’ esperjenzi umani, fl-ambitu tax-xewqa li għand</w:t>
      </w:r>
      <w:r w:rsidR="002A0066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na</w:t>
      </w:r>
      <w:r w:rsidR="00F61D74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għat-tajjeb u għall-verità, biex ninsġuhom fi kwadru koerenti li fih l-aħbar tal-Qawmien tidher bħala s-siġill ta’ Alla fuq pjan ta’ salvazzjoni u mhux bħala ġrajja stramba jew mhux mistennija. Mill-Iskrittura jien inħossni interpretat u mifhum, l-Iskrittura tgħidli dak li jiena xtaqt u dak li kont </w:t>
      </w:r>
      <w:r w:rsidR="00F61D74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lastRenderedPageBreak/>
        <w:t>beżgħan minnu, tagħtini l-mod kif nifhem dik l-istennija u din l-aspettattiva. Hija l-mera tal-bniedem li jfittex lil Alla, li jfittex il-verità u s-sens tal-ħajja, li jfittex jaħrab mid-disperazzjoni u mill-biża’ li jaħkmuh meta jsib ruħu bla ideali u jintefa f’dawk l-esperjenz</w:t>
      </w:r>
      <w:r w:rsidR="002A0066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>i</w:t>
      </w:r>
      <w:r w:rsidR="00F61D74" w:rsidRPr="00B5619B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 li jtarrxuh jew li jagħtuh pjaċir għal ftit mumenti, imma li malajr jerġgħu jitfgħuh fil-vojt. L-Iskrittura turi lill-bniedem lilu nnifsu, ix-xewqat tiegħu, id-destin tiegħu, u tgħinu jifhem kif il-predikazzjoni tal-Irxoxt hija tabilħaqq is-siġill ta’ Alla fuq dak kollu li seħħ fl-istorja tas-salvazzjoni tad-dinja. </w:t>
      </w:r>
    </w:p>
    <w:p w:rsidR="002A0066" w:rsidRPr="00B5619B" w:rsidRDefault="002A0066" w:rsidP="00B5619B">
      <w:pPr>
        <w:spacing w:line="360" w:lineRule="auto"/>
        <w:jc w:val="both"/>
        <w:rPr>
          <w:rStyle w:val="translit"/>
          <w:rFonts w:ascii="Times New Roman" w:hAnsi="Times New Roman" w:cs="Times New Roman"/>
          <w:color w:val="000000" w:themeColor="text1"/>
          <w:sz w:val="20"/>
          <w:szCs w:val="22"/>
          <w:lang w:val="mt-MT"/>
        </w:rPr>
      </w:pPr>
      <w:r w:rsidRPr="00B5619B">
        <w:rPr>
          <w:rStyle w:val="translit"/>
          <w:rFonts w:ascii="Times New Roman" w:hAnsi="Times New Roman" w:cs="Times New Roman"/>
          <w:smallCaps/>
          <w:color w:val="000000" w:themeColor="text1"/>
          <w:sz w:val="20"/>
          <w:szCs w:val="22"/>
          <w:lang w:val="mt-MT"/>
        </w:rPr>
        <w:t>Carlo Maria Martini</w:t>
      </w:r>
      <w:r w:rsidRPr="00B5619B">
        <w:rPr>
          <w:rStyle w:val="translit"/>
          <w:rFonts w:ascii="Times New Roman" w:hAnsi="Times New Roman" w:cs="Times New Roman"/>
          <w:color w:val="000000" w:themeColor="text1"/>
          <w:sz w:val="20"/>
          <w:szCs w:val="22"/>
          <w:lang w:val="mt-MT"/>
        </w:rPr>
        <w:t xml:space="preserve">, </w:t>
      </w:r>
      <w:r w:rsidRPr="00B5619B">
        <w:rPr>
          <w:rStyle w:val="translit"/>
          <w:rFonts w:ascii="Times New Roman" w:hAnsi="Times New Roman" w:cs="Times New Roman"/>
          <w:i/>
          <w:color w:val="000000" w:themeColor="text1"/>
          <w:sz w:val="20"/>
          <w:szCs w:val="22"/>
          <w:lang w:val="mt-MT"/>
        </w:rPr>
        <w:t>L’evangelizzatore in San Luca</w:t>
      </w:r>
      <w:r w:rsidRPr="00B5619B">
        <w:rPr>
          <w:rStyle w:val="translit"/>
          <w:rFonts w:ascii="Times New Roman" w:hAnsi="Times New Roman" w:cs="Times New Roman"/>
          <w:color w:val="000000" w:themeColor="text1"/>
          <w:sz w:val="20"/>
          <w:szCs w:val="22"/>
          <w:lang w:val="mt-MT"/>
        </w:rPr>
        <w:t>, Editrice Àncora Milano 1980, 153-154.</w:t>
      </w:r>
    </w:p>
    <w:p w:rsidR="00B51372" w:rsidRPr="006C22E1" w:rsidRDefault="00B51372" w:rsidP="00CE4A60">
      <w:pPr>
        <w:jc w:val="both"/>
        <w:rPr>
          <w:rFonts w:cstheme="minorHAnsi"/>
          <w:lang w:val="mt-MT"/>
        </w:rPr>
      </w:pPr>
    </w:p>
    <w:p w:rsidR="00B30C29" w:rsidRPr="006C22E1" w:rsidRDefault="00B30C29" w:rsidP="00CE4A60">
      <w:pPr>
        <w:jc w:val="both"/>
        <w:rPr>
          <w:rStyle w:val="translit"/>
          <w:rFonts w:asciiTheme="minorHAnsi" w:hAnsiTheme="minorHAnsi" w:cstheme="minorHAnsi"/>
          <w:color w:val="000000" w:themeColor="text1"/>
          <w:sz w:val="22"/>
          <w:szCs w:val="22"/>
          <w:lang w:val="mt-MT"/>
        </w:rPr>
      </w:pPr>
    </w:p>
    <w:p w:rsidR="00680757" w:rsidRPr="006C22E1" w:rsidRDefault="00680757" w:rsidP="00DE695B">
      <w:pPr>
        <w:jc w:val="both"/>
        <w:rPr>
          <w:rStyle w:val="translit"/>
          <w:rFonts w:asciiTheme="minorHAnsi" w:hAnsiTheme="minorHAnsi" w:cstheme="minorHAnsi"/>
          <w:color w:val="000000" w:themeColor="text1"/>
          <w:sz w:val="22"/>
          <w:szCs w:val="22"/>
          <w:lang w:val="mt-MT"/>
        </w:rPr>
      </w:pPr>
    </w:p>
    <w:p w:rsidR="00680757" w:rsidRPr="006C22E1" w:rsidRDefault="00680757" w:rsidP="00DE695B">
      <w:pPr>
        <w:jc w:val="both"/>
        <w:rPr>
          <w:rStyle w:val="translit"/>
          <w:rFonts w:asciiTheme="minorHAnsi" w:hAnsiTheme="minorHAnsi" w:cstheme="minorHAnsi"/>
          <w:color w:val="000000" w:themeColor="text1"/>
          <w:sz w:val="22"/>
          <w:szCs w:val="22"/>
          <w:lang w:val="mt-MT"/>
        </w:rPr>
      </w:pPr>
    </w:p>
    <w:sectPr w:rsidR="00680757" w:rsidRPr="006C22E1" w:rsidSect="00E455AA">
      <w:foot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6D" w:rsidRDefault="0060116D" w:rsidP="00E455AA">
      <w:pPr>
        <w:spacing w:after="0" w:line="240" w:lineRule="auto"/>
      </w:pPr>
      <w:r>
        <w:separator/>
      </w:r>
    </w:p>
  </w:endnote>
  <w:endnote w:type="continuationSeparator" w:id="0">
    <w:p w:rsidR="0060116D" w:rsidRDefault="0060116D" w:rsidP="00E4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latia SIL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1717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55AA" w:rsidRDefault="00E455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55AA" w:rsidRDefault="00E455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6D" w:rsidRDefault="0060116D" w:rsidP="00E455AA">
      <w:pPr>
        <w:spacing w:after="0" w:line="240" w:lineRule="auto"/>
      </w:pPr>
      <w:r>
        <w:separator/>
      </w:r>
    </w:p>
  </w:footnote>
  <w:footnote w:type="continuationSeparator" w:id="0">
    <w:p w:rsidR="0060116D" w:rsidRDefault="0060116D" w:rsidP="00E45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5F8FF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14"/>
    <w:rsid w:val="00075CCC"/>
    <w:rsid w:val="00237BE5"/>
    <w:rsid w:val="002927BB"/>
    <w:rsid w:val="002A0066"/>
    <w:rsid w:val="00306EFF"/>
    <w:rsid w:val="003852F8"/>
    <w:rsid w:val="003A4114"/>
    <w:rsid w:val="00492E9C"/>
    <w:rsid w:val="0060116D"/>
    <w:rsid w:val="00680757"/>
    <w:rsid w:val="006C22E1"/>
    <w:rsid w:val="00794D8A"/>
    <w:rsid w:val="0087322F"/>
    <w:rsid w:val="008B3671"/>
    <w:rsid w:val="008F043D"/>
    <w:rsid w:val="009A44BE"/>
    <w:rsid w:val="00A90244"/>
    <w:rsid w:val="00B30C29"/>
    <w:rsid w:val="00B51372"/>
    <w:rsid w:val="00B5619B"/>
    <w:rsid w:val="00B73045"/>
    <w:rsid w:val="00B923E3"/>
    <w:rsid w:val="00CE4A60"/>
    <w:rsid w:val="00DE695B"/>
    <w:rsid w:val="00E13ECD"/>
    <w:rsid w:val="00E455AA"/>
    <w:rsid w:val="00EE2F3C"/>
    <w:rsid w:val="00F6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08928-8E2C-44DF-AA63-C4474530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ih1">
    <w:name w:val="unih1"/>
    <w:basedOn w:val="DefaultParagraphFont"/>
    <w:rsid w:val="00DE695B"/>
    <w:rPr>
      <w:rFonts w:ascii="Galatia SIL" w:hAnsi="Galatia SIL" w:hint="default"/>
    </w:rPr>
  </w:style>
  <w:style w:type="character" w:customStyle="1" w:styleId="translit">
    <w:name w:val="translit"/>
    <w:basedOn w:val="DefaultParagraphFont"/>
    <w:rsid w:val="00DE695B"/>
    <w:rPr>
      <w:rFonts w:ascii="Gentium" w:hAnsi="Gentium" w:hint="default"/>
      <w:color w:val="555555"/>
      <w:sz w:val="32"/>
      <w:szCs w:val="32"/>
    </w:rPr>
  </w:style>
  <w:style w:type="character" w:customStyle="1" w:styleId="uni1">
    <w:name w:val="uni1"/>
    <w:basedOn w:val="DefaultParagraphFont"/>
    <w:rsid w:val="00680757"/>
    <w:rPr>
      <w:rFonts w:ascii="Galatia SIL" w:hAnsi="Galatia SIL" w:hint="default"/>
      <w:sz w:val="24"/>
      <w:szCs w:val="24"/>
    </w:rPr>
  </w:style>
  <w:style w:type="character" w:customStyle="1" w:styleId="greek">
    <w:name w:val="greek"/>
    <w:basedOn w:val="DefaultParagraphFont"/>
    <w:rsid w:val="002927BB"/>
    <w:rPr>
      <w:rFonts w:ascii="Gentium" w:hAnsi="Gentium" w:hint="default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2927BB"/>
    <w:rPr>
      <w:color w:val="800000"/>
      <w:u w:val="single"/>
    </w:rPr>
  </w:style>
  <w:style w:type="paragraph" w:styleId="NormalWeb">
    <w:name w:val="Normal (Web)"/>
    <w:basedOn w:val="Normal"/>
    <w:uiPriority w:val="99"/>
    <w:semiHidden/>
    <w:unhideWhenUsed/>
    <w:rsid w:val="0029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Bullet">
    <w:name w:val="List Bullet"/>
    <w:basedOn w:val="Normal"/>
    <w:uiPriority w:val="99"/>
    <w:unhideWhenUsed/>
    <w:rsid w:val="008B3671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5AA"/>
  </w:style>
  <w:style w:type="paragraph" w:styleId="Footer">
    <w:name w:val="footer"/>
    <w:basedOn w:val="Normal"/>
    <w:link w:val="FooterChar"/>
    <w:uiPriority w:val="99"/>
    <w:unhideWhenUsed/>
    <w:rsid w:val="00E455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parola.net/greco/parola.php?p=&#800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aparola.net/greco/parola.php?p=&#954;&#945;&#961;&#948;&#8055;&#94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F326-1E36-44A4-9AED-5182470D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farrugia</dc:creator>
  <cp:keywords/>
  <dc:description/>
  <cp:lastModifiedBy>Gabriel Vella</cp:lastModifiedBy>
  <cp:revision>7</cp:revision>
  <dcterms:created xsi:type="dcterms:W3CDTF">2017-04-20T08:27:00Z</dcterms:created>
  <dcterms:modified xsi:type="dcterms:W3CDTF">2017-05-24T11:44:00Z</dcterms:modified>
</cp:coreProperties>
</file>