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E8" w:rsidRPr="003A4CF2" w:rsidRDefault="007E7D91" w:rsidP="003A4CF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</w:rPr>
      </w:pPr>
      <w:r w:rsidRPr="003A4CF2">
        <w:rPr>
          <w:rFonts w:ascii="Times New Roman" w:hAnsi="Times New Roman" w:cs="Times New Roman"/>
          <w:b/>
          <w:smallCaps/>
          <w:sz w:val="48"/>
          <w:szCs w:val="20"/>
        </w:rPr>
        <w:t>Lectio Divina</w:t>
      </w:r>
    </w:p>
    <w:p w:rsidR="00A72EE8" w:rsidRPr="003A4CF2" w:rsidRDefault="00A72EE8" w:rsidP="003A4CF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3A4CF2">
        <w:rPr>
          <w:rFonts w:ascii="Times New Roman" w:hAnsi="Times New Roman" w:cs="Times New Roman"/>
          <w:b/>
          <w:smallCaps/>
          <w:sz w:val="44"/>
          <w:szCs w:val="20"/>
        </w:rPr>
        <w:t xml:space="preserve">Id-Disa’ u Għoxrin Ħadd </w:t>
      </w:r>
    </w:p>
    <w:p w:rsidR="00A72EE8" w:rsidRPr="003A4CF2" w:rsidRDefault="00A72EE8" w:rsidP="003A4CF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3A4CF2">
        <w:rPr>
          <w:rFonts w:ascii="Times New Roman" w:hAnsi="Times New Roman" w:cs="Times New Roman"/>
          <w:b/>
          <w:smallCaps/>
          <w:sz w:val="44"/>
          <w:szCs w:val="20"/>
        </w:rPr>
        <w:t>Matul is-Sena (</w:t>
      </w:r>
      <w:r w:rsidR="007E7D91" w:rsidRPr="003A4CF2">
        <w:rPr>
          <w:rFonts w:ascii="Times New Roman" w:hAnsi="Times New Roman" w:cs="Times New Roman"/>
          <w:b/>
          <w:smallCaps/>
          <w:sz w:val="44"/>
          <w:szCs w:val="20"/>
        </w:rPr>
        <w:t>Sena Ċ</w:t>
      </w:r>
      <w:r w:rsidRPr="003A4CF2">
        <w:rPr>
          <w:rFonts w:ascii="Times New Roman" w:hAnsi="Times New Roman" w:cs="Times New Roman"/>
          <w:b/>
          <w:smallCaps/>
          <w:sz w:val="44"/>
          <w:szCs w:val="20"/>
        </w:rPr>
        <w:t>)</w:t>
      </w:r>
    </w:p>
    <w:p w:rsidR="007E7D91" w:rsidRPr="007E7D91" w:rsidRDefault="007E7D91" w:rsidP="00A72EE8">
      <w:pPr>
        <w:jc w:val="center"/>
        <w:rPr>
          <w:rFonts w:ascii="Times New Roman" w:hAnsi="Times New Roman" w:cs="Times New Roman"/>
          <w:b/>
          <w:szCs w:val="44"/>
        </w:rPr>
      </w:pPr>
    </w:p>
    <w:p w:rsidR="00A72EE8" w:rsidRPr="007E7D91" w:rsidRDefault="00A72EE8" w:rsidP="00A72EE8">
      <w:pPr>
        <w:jc w:val="center"/>
        <w:rPr>
          <w:rFonts w:ascii="Times New Roman" w:hAnsi="Times New Roman" w:cs="Times New Roman"/>
          <w:b/>
          <w:sz w:val="28"/>
        </w:rPr>
      </w:pPr>
      <w:r w:rsidRPr="007E7D91">
        <w:rPr>
          <w:rFonts w:ascii="Times New Roman" w:hAnsi="Times New Roman" w:cs="Times New Roman"/>
          <w:b/>
          <w:sz w:val="28"/>
        </w:rPr>
        <w:t>Lq 18,1-8</w:t>
      </w:r>
    </w:p>
    <w:p w:rsidR="00A72EE8" w:rsidRPr="007E7D91" w:rsidRDefault="00A72EE8" w:rsidP="00A72EE8">
      <w:pPr>
        <w:rPr>
          <w:rFonts w:ascii="Times New Roman" w:hAnsi="Times New Roman" w:cs="Times New Roman"/>
        </w:rPr>
      </w:pPr>
    </w:p>
    <w:p w:rsidR="00A72EE8" w:rsidRPr="003A4CF2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222222"/>
          <w:sz w:val="24"/>
          <w:szCs w:val="24"/>
        </w:rPr>
      </w:pPr>
      <w:r w:rsidRPr="007E7D91">
        <w:rPr>
          <w:rFonts w:ascii="Times New Roman" w:eastAsia="Arial Unicode MS" w:hAnsi="Times New Roman" w:cs="Times New Roman"/>
          <w:b/>
          <w:color w:val="222222"/>
          <w:sz w:val="24"/>
          <w:szCs w:val="24"/>
        </w:rPr>
        <w:t>Kuntest: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</w:rPr>
      </w:pPr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</w:rPr>
        <w:t>Biex il-fidi tal-insara ma tiġix nieqsa bejn iż-żmien tal-ewwel u t-tieni miġja, Ġesu’ jirrakkomanda l-importanza tat-talb u tal-istennija.  Fis-snin 80 fl-Asja Minuri bdiet il-persekuzzjoni. Domizjanu kien jippretendi li kulħadd jadurah bħala Alla. Qalb l-iskoraġġiment fost il-komunita’ nisranija kien hemm fl-istess waqt xewqa kbira li l-Mulej ma jdumx ma jerġa’ jiġi.  Is-silta ta’ qabilha (Lq 17,29-37) għandha karattru eskatoloġiku għax tirrigwardja l-miġja finali tas-Saltna.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</w:rPr>
      </w:pP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 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[Lq:18:1]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Mbagħad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qalilhom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parabbola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jurihom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għandhom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dejjem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jitolbu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jaqtgħu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 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dejjem</w:t>
      </w:r>
      <w:proofErr w:type="spellEnd"/>
      <w:proofErr w:type="gram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jitolbu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jaqtgħu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 </w:t>
      </w:r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</w:rPr>
        <w:t>(</w:t>
      </w:r>
      <w:r w:rsidRPr="007E7D91">
        <w:rPr>
          <w:rFonts w:ascii="Times New Roman" w:eastAsia="Arial Unicode MS" w:hAnsi="Times New Roman" w:cs="Times New Roman"/>
          <w:b/>
          <w:bCs/>
          <w:i/>
          <w:iCs/>
          <w:color w:val="222222"/>
          <w:sz w:val="24"/>
          <w:szCs w:val="24"/>
        </w:rPr>
        <w:t>pántote proseúchesthai</w:t>
      </w:r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</w:rPr>
        <w:t>: cf. l Ts 1,2; Col 1,3)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: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ir-rakkomandazzjoni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karatteristika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tal-ispiritwalita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tal-ewwel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komuntajiet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Ifirħu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itolbu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heda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iżżu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f’kollox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Dan u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mingħandkom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Kristu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 » (1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5,16-18).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waħda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temi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Luqa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kemm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Vanġelu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fl-Atti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bżonn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waqfien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bżonnjuż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 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insara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jidħlux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tentazzjoni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tonqos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jaqtgħu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qalbhom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persekuzzjoni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d-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dubji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dwar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miġja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Saltna</w:t>
      </w:r>
      <w:proofErr w:type="spellEnd"/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</w:rPr>
        <w:t>. Għal Luqa li tkun dixxiplu u li titlob huma l-istess ħaġa.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« </w:t>
      </w:r>
      <w:proofErr w:type="gram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li</w:t>
      </w:r>
      <w:proofErr w:type="gram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għandhom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 : (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/>
          <w:iCs/>
          <w:color w:val="222222"/>
          <w:sz w:val="24"/>
          <w:szCs w:val="24"/>
          <w:lang w:val="fr-FR"/>
        </w:rPr>
        <w:t>deî</w:t>
      </w:r>
      <w:proofErr w:type="spellEnd"/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  <w:t> = </w:t>
      </w:r>
      <w:r w:rsidRPr="007E7D91">
        <w:rPr>
          <w:rFonts w:ascii="Times New Roman" w:eastAsia="Arial Unicode MS" w:hAnsi="Times New Roman" w:cs="Times New Roman"/>
          <w:color w:val="222222"/>
          <w:sz w:val="24"/>
          <w:szCs w:val="24"/>
        </w:rPr>
        <w:t>huwa neċessarju) - jidher 41 darba minn 102 darba fit-Testment il-Ġdid - għax it-talb huwa karaterizzat mir-reżistenzi: “Nħeġġiġkom, ħuti... tqabdu miegħu intom u titolbu lil Alla għalija” (Rum 15,30 ara wkoll Ġen 32,23ff).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 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bla</w:t>
      </w:r>
      <w:proofErr w:type="spellEnd"/>
      <w:proofErr w:type="gram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jaqtgħu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Juża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Pawlu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 </w:t>
      </w:r>
      <w:r w:rsidRPr="007E7D91">
        <w:rPr>
          <w:rFonts w:ascii="Times New Roman" w:eastAsia="Arial Unicode MS" w:hAnsi="Times New Roman" w:cs="Times New Roman"/>
          <w:b/>
          <w:bCs/>
          <w:i/>
          <w:iCs/>
          <w:color w:val="333333"/>
          <w:sz w:val="24"/>
          <w:szCs w:val="24"/>
        </w:rPr>
        <w:t>mē enkakéin</w:t>
      </w:r>
      <w:r w:rsidRPr="007E7D91">
        <w:rPr>
          <w:rFonts w:ascii="Times New Roman" w:eastAsia="Arial Unicode MS" w:hAnsi="Times New Roman" w:cs="Times New Roman"/>
          <w:color w:val="333333"/>
          <w:sz w:val="24"/>
          <w:szCs w:val="24"/>
        </w:rPr>
        <w:t> li tfisser ma tħallix id-dirgħajn iċedu, ma taqtax qalbek. Hemm riferenza għa-dirgħajn merfugħa ta’ Mose’ waqt li Iżrael qiegħed jikkumbatti mal-poplu ta’ Għamalek (Eż 17,8-13). Iż-żmien tal-istennija jeħtieġ li jimtela b’insistenza tallaba.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</w:rPr>
      </w:pPr>
      <w:r w:rsidRPr="007E7D91">
        <w:rPr>
          <w:rFonts w:ascii="Times New Roman" w:eastAsia="Arial Unicode MS" w:hAnsi="Times New Roman" w:cs="Times New Roman"/>
          <w:color w:val="333333"/>
          <w:sz w:val="24"/>
          <w:szCs w:val="24"/>
        </w:rPr>
        <w:lastRenderedPageBreak/>
        <w:t> 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[Lq:18:2-3]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Qalilhom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: "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hemm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f'belt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wieħed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imħallef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li la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jibża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'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Alla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lanqas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iħabbel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rasu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ħadd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 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F'dik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belt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hemm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waħda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kienet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tmur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għandu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tgħidlu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, '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Agħmilli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kontra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għadu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tiegħi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.'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«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F'dik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belt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hemm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waħda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Flimkien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iltim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tirrapreżenta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kategorija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protezzjoni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esposti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inġustizzja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 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sfruttatata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anke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mill-membri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tal-istess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familja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22,21-23 ; Is 1,17.23 ;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7,6 ; 22,3).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kellhiex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mezzi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tgħix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esposta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ħafna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perikli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« La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tgħawwiġx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dritt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tal-barrani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jew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tal-iltim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;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lanqas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tieħu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b’rahan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libsa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Dewt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24,17).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bookmarkStart w:id="0" w:name="_GoBack"/>
      <w:bookmarkEnd w:id="0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« "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hemm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f'belt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wieħed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imħallef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li la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jibża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'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Alla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lanqas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iħabbel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rasu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ħadd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 » :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imħallfin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suppost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kellhom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jinteressaw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ruħhom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mir-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romol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« Dan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‘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Agħmlu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s-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sewwa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eħilsu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maħqur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oppressuri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barrani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iltim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tgħakksuhomx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 » (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22,30).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« '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Agħmilli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kontra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għadu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tiegħi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.' » :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preżenza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tal-imħallef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dgħajfa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fqira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mingħajr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appoġġ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ħadd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diġa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tidher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telliefa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Għandha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kollox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kontriha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is-sitwazzjoni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tal-imħallef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ambjent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soċjali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« </w:t>
      </w:r>
      <w:proofErr w:type="gram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li</w:t>
      </w:r>
      <w:proofErr w:type="gram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kienet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tmur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għandu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tgħidlu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kellhiex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tixtri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lill-imħallef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tipprova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unika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arma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titlob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terġa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titlob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insistenza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  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it-IT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[Lq:18:4-5]  « Hu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riedx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u dam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ħafna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hekk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;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iżda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mbagħad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bejnu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bejn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ruħu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qal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, '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Mhux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nibża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'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minn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Alla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jew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se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nħabbel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rasi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min-nies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imma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għallinqas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dejjqitni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;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nagħmlilha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tibqax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ġejja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sejra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sa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tifnini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.' " »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« Hu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riedx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, u dam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ħafna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hekk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 » :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imperfett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juri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azzjoni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ripetuta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istruttura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kliem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parabbola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jaqblu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ħafna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parabbola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tal-ħabib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jmur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jitlob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f’nofs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11,5-8).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għax</w:t>
      </w:r>
      <w:proofErr w:type="spellEnd"/>
      <w:proofErr w:type="gram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dejqitni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fr-FR"/>
        </w:rPr>
        <w:t> » :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F’dal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każ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fid-dgħufija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ssib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qawwa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moħbija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ġewwa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biblika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David ma’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Gulija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(1 Sam 17 : ara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Makk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4,3) ;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Mose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 mal-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Fargħun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32,9-14.31-32) ;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Pawlu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jiftaħar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bid-dgħufija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nkun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dgħajjef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nkun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qawwi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(2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12,7-10) ;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jsalva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permezz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salib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Knisja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minkejja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dgħufija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is-setgħat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tal-infern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jegħlbuhiex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(Mt 16,18).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[Lq:18:6-7] U 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qal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: "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Isimgħu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ftit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x'jgħid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 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imħallef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ħażin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.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Mbagħad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Alla,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lill-magħżulin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tiegħu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jgħajtulu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lejl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nhar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sejjer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jagħmlilhomx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? Se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joqgħod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itawwal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magħhom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? </w:t>
      </w:r>
    </w:p>
    <w:p w:rsidR="00A72EE8" w:rsidRPr="007E7D91" w:rsidRDefault="00A72EE8" w:rsidP="003A4CF2">
      <w:pPr>
        <w:shd w:val="clear" w:color="auto" w:fill="FFFFFF"/>
        <w:spacing w:before="30" w:after="30" w:line="360" w:lineRule="auto"/>
        <w:ind w:right="375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«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Isimgħu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ftit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x'jgħid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 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imħallef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ħażin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» :</w:t>
      </w:r>
      <w:r w:rsidRPr="007E7D9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fr-FR"/>
        </w:rPr>
        <w:t>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diffiċli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tobsor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kuxjenza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jasal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 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armla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!</w:t>
      </w:r>
    </w:p>
    <w:p w:rsidR="00A72EE8" w:rsidRPr="007E7D91" w:rsidRDefault="00A72EE8" w:rsidP="003A4CF2">
      <w:pPr>
        <w:shd w:val="clear" w:color="auto" w:fill="FFFFFF"/>
        <w:spacing w:before="30" w:after="30" w:line="360" w:lineRule="auto"/>
        <w:ind w:right="375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«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Mbagħad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Alla,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lill-magħżulin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tiegħu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jgħajjtulu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lejl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nhar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sejjer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jagħmlilhomx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? »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 « It-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ta'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umli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tinfed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is-sħab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toqgħodx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bi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kwietha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tasal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qrib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tiqafx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Għoli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widen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 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raġun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lill-ġusti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jitnikkirx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(Sir 35,17-19a ; ara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Apok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6,9-11).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fr-FR"/>
        </w:rPr>
        <w:t> 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« Se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joqgħod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itawwal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magħhom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? » :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is-sentenza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tiftiehem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ħjar jekk ma tinqarax bħala domanda: “Anke jekk huwa joqgħod itawwal </w:t>
      </w:r>
      <w:r w:rsidRPr="007E7D91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  <w:lang w:val="fr-FR"/>
        </w:rPr>
        <w:t>(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fr-FR"/>
        </w:rPr>
        <w:t>makrothymei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>n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</w:rPr>
        <w:t>= ħajja twila, paċenzja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)</w:t>
      </w: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</w:rPr>
        <w:t>magħhom”. Il-magħżulin ma għandhomx jibżgħu jekk Alla jittardja ma jieħu azzjoni. Alla jintervieni, imma fil-mument opportun. Skont tema mifruxa fil-ġudaiżmu u fil-kitbiet tat-Testment il-Ġdid, Alla jittardja biex jagħti lil kulħadd il-possibilità li jippurika ruħu u jikkonverti: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« Dan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għandkom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tkunu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tafu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ħuti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għeżież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jiddawwar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jtemm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wegħdiet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kif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jaħsbu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xi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wħud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qiegħed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jistabar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bikom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xi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iħadd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jintilef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kulħadd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jersaq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għall-indiema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(2 Pt 3,8-10 </w:t>
      </w: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</w:rPr>
        <w:t>ara wkoll Rum 2,4).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it-IT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[Lq:18:8] 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Jiena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ngħidilkom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malajr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jagħmlilhom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ħaqq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. Imma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taħsbu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intom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Bin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bniedem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se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jsib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fidi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fuq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l-art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meta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jiġi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?"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222222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kuntest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eskatoloġiku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Dan 7,13).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inżommu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għajnejna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« 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bħalma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ġara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żmien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Noe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hekk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jiġri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żmien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Bin il-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…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mbagħad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ġie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dilluvju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qeridhom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ilkoll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(17,26-27),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allura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nifhmu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kelmiet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tibqgu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sħaħ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aħħar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issalvaw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ħajjitkom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21,19). It-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jżomm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sal-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miġja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finali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tal-Mulej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 </w:t>
      </w:r>
    </w:p>
    <w:p w:rsidR="00967C43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« Imma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taħsbu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intom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li Bin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bniedem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se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jsib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il-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fidi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fuq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l-art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meta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jiġi</w:t>
      </w:r>
      <w:proofErr w:type="spellEnd"/>
      <w:r w:rsidRPr="007E7D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? » :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ismu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Għimmanu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-El » (Mt 1,23),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jinsab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preżenti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fostna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Jiġi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isalva</w:t>
      </w:r>
      <w:proofErr w:type="spellEnd"/>
      <w:r w:rsidRPr="007E7D91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 </w:t>
      </w:r>
    </w:p>
    <w:p w:rsidR="003A4CF2" w:rsidRPr="003A4CF2" w:rsidRDefault="003A4CF2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7E7D9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GĦAR-RIFLESSJONI :</w:t>
      </w:r>
    </w:p>
    <w:p w:rsidR="00A72EE8" w:rsidRPr="007E7D91" w:rsidRDefault="00A72EE8" w:rsidP="003A4CF2">
      <w:pPr>
        <w:shd w:val="clear" w:color="auto" w:fill="FFFFFF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Risulta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chiaro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chi e’ la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vedova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della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parabola : e’ la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chiesa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di Luca, la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chiesa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cui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e’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stato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sottratto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lo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Sposo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e’ la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comunita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che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attende la sua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venuta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anche se non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conosce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ne’ il giorno ne’ l’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ora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del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suo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rotorno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che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ogni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giorno, con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insistenza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implora : « 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Vieni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Signore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Gesu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’ » (</w:t>
      </w:r>
      <w:proofErr w:type="spellStart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Ap</w:t>
      </w:r>
      <w:proofErr w:type="spellEnd"/>
      <w:r w:rsidRPr="007E7D9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22,20). </w:t>
      </w:r>
      <w:r w:rsidRPr="007E7D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(Fernando </w:t>
      </w:r>
      <w:proofErr w:type="spellStart"/>
      <w:r w:rsidRPr="007E7D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Armellini</w:t>
      </w:r>
      <w:proofErr w:type="spellEnd"/>
      <w:r w:rsidRPr="007E7D9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)</w:t>
      </w:r>
    </w:p>
    <w:sectPr w:rsidR="00A72EE8" w:rsidRPr="007E7D91" w:rsidSect="003A4CF2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DD" w:rsidRDefault="002C28DD" w:rsidP="00227FCC">
      <w:pPr>
        <w:spacing w:after="0" w:line="240" w:lineRule="auto"/>
      </w:pPr>
      <w:r>
        <w:separator/>
      </w:r>
    </w:p>
  </w:endnote>
  <w:endnote w:type="continuationSeparator" w:id="0">
    <w:p w:rsidR="002C28DD" w:rsidRDefault="002C28DD" w:rsidP="0022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719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FCC" w:rsidRDefault="00227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7FCC" w:rsidRDefault="00227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DD" w:rsidRDefault="002C28DD" w:rsidP="00227FCC">
      <w:pPr>
        <w:spacing w:after="0" w:line="240" w:lineRule="auto"/>
      </w:pPr>
      <w:r>
        <w:separator/>
      </w:r>
    </w:p>
  </w:footnote>
  <w:footnote w:type="continuationSeparator" w:id="0">
    <w:p w:rsidR="002C28DD" w:rsidRDefault="002C28DD" w:rsidP="00227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E8"/>
    <w:rsid w:val="000511E6"/>
    <w:rsid w:val="00227FCC"/>
    <w:rsid w:val="002C28DD"/>
    <w:rsid w:val="003A4CF2"/>
    <w:rsid w:val="006D6E8F"/>
    <w:rsid w:val="007E7D91"/>
    <w:rsid w:val="00967C43"/>
    <w:rsid w:val="00A7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B5B80-F785-4A18-ADE9-AF1587D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E8"/>
    <w:pPr>
      <w:spacing w:after="200" w:line="276" w:lineRule="auto"/>
    </w:pPr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C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27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CC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3F26-0978-4DBC-AD09-D9F949EA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5</cp:revision>
  <cp:lastPrinted>2016-12-01T09:47:00Z</cp:lastPrinted>
  <dcterms:created xsi:type="dcterms:W3CDTF">2016-11-18T15:10:00Z</dcterms:created>
  <dcterms:modified xsi:type="dcterms:W3CDTF">2016-12-01T09:53:00Z</dcterms:modified>
</cp:coreProperties>
</file>